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Costco Wholesale (COST): Long-Term Investment Research</w:t>
      </w:r>
    </w:p>
    <w:p>
      <w:pPr>
        <w:pStyle w:val="Subtitle"/>
      </w:pPr>
      <w:r>
        <w:t xml:space="preserve">30 September 2026 · Research by Gemini agent team; analysis, fact-check and review by Claude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summary"/>
    <w:p>
      <w:pPr>
        <w:pStyle w:val="Heading1"/>
      </w:pPr>
      <w:r>
        <w:t xml:space="preserve">Summary</w:t>
      </w:r>
    </w:p>
    <w:p>
      <w:pPr>
        <w:pStyle w:val="Compact"/>
        <w:numPr>
          <w:ilvl w:val="0"/>
          <w:numId w:val="1001"/>
        </w:numPr>
      </w:pPr>
      <w:r>
        <w:rPr>
          <w:b/>
          <w:bCs/>
        </w:rPr>
        <w:t xml:space="preserve">The business:</w:t>
      </w:r>
      <w:r>
        <w:t xml:space="preserve"> </w:t>
      </w:r>
      <w:r>
        <w:t xml:space="preserve">Costco runs 939 membership warehouses in 14 countries. It sells a narrow range</w:t>
      </w:r>
      <w:r>
        <w:t xml:space="preserve"> </w:t>
      </w:r>
      <w:r>
        <w:t xml:space="preserve">(under 4,000 items per warehouse) at very thin margins. Roughly</w:t>
      </w:r>
      <w:r>
        <w:t xml:space="preserve"> </w:t>
      </w:r>
      <w:r>
        <w:rPr>
          <w:b/>
          <w:bCs/>
        </w:rPr>
        <w:t xml:space="preserve">half of its operating profit</w:t>
      </w:r>
      <w:r>
        <w:rPr>
          <w:b/>
          <w:bCs/>
        </w:rPr>
        <w:t xml:space="preserve"> </w:t>
      </w:r>
      <w:r>
        <w:rPr>
          <w:b/>
          <w:bCs/>
        </w:rPr>
        <w:t xml:space="preserve">comes from membership fees</w:t>
      </w:r>
      <w:r>
        <w:t xml:space="preserve"> </w:t>
      </w:r>
      <w:r>
        <w:t xml:space="preserve">($5.9B of $11.7B in FY2026), so the store is close to a break-even</w:t>
      </w:r>
      <w:r>
        <w:t xml:space="preserve"> </w:t>
      </w:r>
      <w:r>
        <w:t xml:space="preserve">engine that keeps members renewing.</w:t>
      </w:r>
    </w:p>
    <w:p>
      <w:pPr>
        <w:pStyle w:val="Compact"/>
        <w:numPr>
          <w:ilvl w:val="0"/>
          <w:numId w:val="1001"/>
        </w:numPr>
      </w:pPr>
      <w:r>
        <w:rPr>
          <w:b/>
          <w:bCs/>
        </w:rPr>
        <w:t xml:space="preserve">Track record:</w:t>
      </w:r>
      <w:r>
        <w:t xml:space="preserve"> </w:t>
      </w:r>
      <w:r>
        <w:t xml:space="preserve">ten years of steady compounding. Revenue grew from $118.7B (FY2016) to</w:t>
      </w:r>
      <w:r>
        <w:t xml:space="preserve"> </w:t>
      </w:r>
      <w:r>
        <w:t xml:space="preserve">$303.2B (FY2026), about</w:t>
      </w:r>
      <w:r>
        <w:t xml:space="preserve"> </w:t>
      </w:r>
      <w:r>
        <w:rPr>
          <w:b/>
          <w:bCs/>
        </w:rPr>
        <w:t xml:space="preserve">9.8% a year</w:t>
      </w:r>
      <w:r>
        <w:t xml:space="preserve">. Diluted earnings per share (EPS) grew from $5.33 to</w:t>
      </w:r>
      <w:r>
        <w:t xml:space="preserve"> </w:t>
      </w:r>
      <w:r>
        <w:t xml:space="preserve">$20.76, about</w:t>
      </w:r>
      <w:r>
        <w:t xml:space="preserve"> </w:t>
      </w:r>
      <w:r>
        <w:rPr>
          <w:b/>
          <w:bCs/>
        </w:rPr>
        <w:t xml:space="preserve">14.6% a year</w:t>
      </w:r>
      <w:r>
        <w:t xml:space="preserve">. Operating margin crept up from 3.1% to 3.9%. Shares outstanding</w:t>
      </w:r>
      <w:r>
        <w:t xml:space="preserve"> </w:t>
      </w:r>
      <w:r>
        <w:t xml:space="preserve">barely changed, so owners were not diluted.</w:t>
      </w:r>
    </w:p>
    <w:p>
      <w:pPr>
        <w:pStyle w:val="Compact"/>
        <w:numPr>
          <w:ilvl w:val="0"/>
          <w:numId w:val="1001"/>
        </w:numPr>
      </w:pPr>
      <w:r>
        <w:rPr>
          <w:b/>
          <w:bCs/>
        </w:rPr>
        <w:t xml:space="preserve">Balance sheet:</w:t>
      </w:r>
      <w:r>
        <w:t xml:space="preserve"> </w:t>
      </w:r>
      <w:r>
        <w:t xml:space="preserve">very strong. It has about</w:t>
      </w:r>
      <w:r>
        <w:t xml:space="preserve"> </w:t>
      </w:r>
      <w:r>
        <w:rPr>
          <w:b/>
          <w:bCs/>
        </w:rPr>
        <w:t xml:space="preserve">$15.1B more cash than debt</w:t>
      </w:r>
      <w:r>
        <w:t xml:space="preserve">, and suppliers</w:t>
      </w:r>
      <w:r>
        <w:t xml:space="preserve"> </w:t>
      </w:r>
      <w:r>
        <w:t xml:space="preserve">effectively finance its inventory (it owes suppliers $22.6B against $19.3B of inventory).</w:t>
      </w:r>
    </w:p>
    <w:p>
      <w:pPr>
        <w:pStyle w:val="Compact"/>
        <w:numPr>
          <w:ilvl w:val="0"/>
          <w:numId w:val="1001"/>
        </w:numPr>
      </w:pPr>
      <w:r>
        <w:rPr>
          <w:b/>
          <w:bCs/>
        </w:rPr>
        <w:t xml:space="preserve">Valuation is the central issue.</w:t>
      </w:r>
      <w:r>
        <w:t xml:space="preserve"> </w:t>
      </w:r>
      <w:r>
        <w:t xml:space="preserve">At about $922 (search data, 29 Sept) the stock trades at</w:t>
      </w:r>
      <w:r>
        <w:t xml:space="preserve"> </w:t>
      </w:r>
      <w:r>
        <w:rPr>
          <w:b/>
          <w:bCs/>
        </w:rPr>
        <w:t xml:space="preserve">~44× last year’s earnings</w:t>
      </w:r>
      <w:r>
        <w:t xml:space="preserve">, an earnings yield of 2.25%. Costco’s own 10-K says its stock</w:t>
      </w:r>
      <w:r>
        <w:t xml:space="preserve"> </w:t>
      </w:r>
      <w:r>
        <w:t xml:space="preserve">price</w:t>
      </w:r>
      <w:r>
        <w:t xml:space="preserve"> </w:t>
      </w:r>
      <w:r>
        <w:t xml:space="preserve">“reflects high market expectations”</w:t>
      </w:r>
      <w:r>
        <w:t xml:space="preserve">. The arithmetic in section 6 shows that, even if</w:t>
      </w:r>
      <w:r>
        <w:t xml:space="preserve"> </w:t>
      </w:r>
      <w:r>
        <w:t xml:space="preserve">earnings keep growing at 10% a year, a drift of the P/E back toward 30× would cut the yearly</w:t>
      </w:r>
      <w:r>
        <w:t xml:space="preserve"> </w:t>
      </w:r>
      <w:r>
        <w:t xml:space="preserve">price return to about 6%.</w:t>
      </w:r>
    </w:p>
    <w:p>
      <w:pPr>
        <w:pStyle w:val="Compact"/>
        <w:numPr>
          <w:ilvl w:val="0"/>
          <w:numId w:val="1001"/>
        </w:numPr>
      </w:pPr>
      <w:r>
        <w:rPr>
          <w:b/>
          <w:bCs/>
        </w:rPr>
        <w:t xml:space="preserve">Bull points:</w:t>
      </w:r>
      <w:r>
        <w:t xml:space="preserve"> </w:t>
      </w:r>
      <w:r>
        <w:t xml:space="preserve">exceptional member loyalty (92.3% renewal in the U.S. and Canada), room to</w:t>
      </w:r>
      <w:r>
        <w:t xml:space="preserve"> </w:t>
      </w:r>
      <w:r>
        <w:t xml:space="preserve">expand internationally, fast-growing digital sales (+20.9% in FY2026), and pricing power on</w:t>
      </w:r>
      <w:r>
        <w:t xml:space="preserve"> </w:t>
      </w:r>
      <w:r>
        <w:t xml:space="preserve">membership fees.</w:t>
      </w:r>
    </w:p>
    <w:p>
      <w:pPr>
        <w:pStyle w:val="Compact"/>
        <w:numPr>
          <w:ilvl w:val="0"/>
          <w:numId w:val="1001"/>
        </w:numPr>
      </w:pPr>
      <w:r>
        <w:rPr>
          <w:b/>
          <w:bCs/>
        </w:rPr>
        <w:t xml:space="preserve">Bear points:</w:t>
      </w:r>
      <w:r>
        <w:t xml:space="preserve"> </w:t>
      </w:r>
      <w:r>
        <w:t xml:space="preserve">the valuation leaves little room for disappointment; member growth appears to be</w:t>
      </w:r>
      <w:r>
        <w:t xml:space="preserve"> </w:t>
      </w:r>
      <w:r>
        <w:t xml:space="preserve">slowing (search reports +3.8%, not yet confirmed in a filing); and results depend heavily on the</w:t>
      </w:r>
      <w:r>
        <w:t xml:space="preserve"> </w:t>
      </w:r>
      <w:r>
        <w:t xml:space="preserve">U.S. and Canada (86% of sales) and on California in particular (26% of U.S. sales).</w:t>
      </w:r>
    </w:p>
    <w:p>
      <w:pPr>
        <w:pStyle w:val="Compact"/>
        <w:numPr>
          <w:ilvl w:val="0"/>
          <w:numId w:val="1001"/>
        </w:numPr>
      </w:pPr>
      <w:r>
        <w:rPr>
          <w:b/>
          <w:bCs/>
        </w:rPr>
        <w:t xml:space="preserve">Fact-check:</w:t>
      </w:r>
    </w:p>
    <w:p>
      <w:pPr>
        <w:pStyle w:val="Compact"/>
        <w:numPr>
          <w:ilvl w:val="1"/>
          <w:numId w:val="1002"/>
        </w:numPr>
      </w:pPr>
      <w:r>
        <w:rPr>
          <w:b/>
          <w:bCs/>
        </w:rPr>
        <w:t xml:space="preserve">Correct:</w:t>
      </w:r>
      <w:r>
        <w:t xml:space="preserve"> </w:t>
      </w:r>
      <w:r>
        <w:t xml:space="preserve">every SEC-derived figure in the Gemini SEC report.</w:t>
      </w:r>
    </w:p>
    <w:p>
      <w:pPr>
        <w:pStyle w:val="Compact"/>
        <w:numPr>
          <w:ilvl w:val="1"/>
          <w:numId w:val="1002"/>
        </w:numPr>
      </w:pPr>
      <w:r>
        <w:rPr>
          <w:b/>
          <w:bCs/>
        </w:rPr>
        <w:t xml:space="preserve">Stale:</w:t>
      </w:r>
      <w:r>
        <w:t xml:space="preserve"> </w:t>
      </w:r>
      <w:r>
        <w:t xml:space="preserve">the regular dividend. Gemini used $5.20/year; Costco raised it to</w:t>
      </w:r>
      <w:r>
        <w:t xml:space="preserve"> </w:t>
      </w:r>
      <w:r>
        <w:rPr>
          <w:b/>
          <w:bCs/>
        </w:rPr>
        <w:t xml:space="preserve">$5.88/year</w:t>
      </w:r>
      <w:r>
        <w:t xml:space="preserve"> </w:t>
      </w:r>
      <w:r>
        <w:t xml:space="preserve">in</w:t>
      </w:r>
      <w:r>
        <w:t xml:space="preserve"> </w:t>
      </w:r>
      <w:r>
        <w:t xml:space="preserve">April 2026.</w:t>
      </w:r>
    </w:p>
    <w:p>
      <w:pPr>
        <w:pStyle w:val="Compact"/>
        <w:numPr>
          <w:ilvl w:val="1"/>
          <w:numId w:val="1002"/>
        </w:numPr>
      </w:pPr>
      <w:r>
        <w:rPr>
          <w:b/>
          <w:bCs/>
        </w:rPr>
        <w:t xml:space="preserve">Arithmetic:</w:t>
      </w:r>
      <w:r>
        <w:t xml:space="preserve"> </w:t>
      </w:r>
      <w:r>
        <w:t xml:space="preserve">two calculations in the Gemini strategy scenario are optimistic (section 3).</w:t>
      </w:r>
    </w:p>
    <w:bookmarkEnd w:id="9"/>
    <w:bookmarkStart w:id="10" w:name="how-to-read-this-report"/>
    <w:p>
      <w:pPr>
        <w:pStyle w:val="Heading1"/>
      </w:pPr>
      <w:r>
        <w:t xml:space="preserve">How to read this report</w:t>
      </w:r>
    </w:p>
    <w:p>
      <w:pPr>
        <w:pStyle w:val="Compact"/>
        <w:numPr>
          <w:ilvl w:val="0"/>
          <w:numId w:val="1003"/>
        </w:numPr>
      </w:pPr>
      <w:r>
        <w:rPr>
          <w:b/>
          <w:bCs/>
        </w:rPr>
        <w:t xml:space="preserve">Sources:</w:t>
      </w:r>
      <w:r>
        <w:t xml:space="preserve"> </w:t>
      </w:r>
      <w:r>
        <w:t xml:space="preserve">SEC filings are the official record, and I checked the figures against them. Price,</w:t>
      </w:r>
      <w:r>
        <w:t xml:space="preserve"> </w:t>
      </w:r>
      <w:r>
        <w:t xml:space="preserve">P/E, analyst targets and some news items come from Google Search. They are marked</w:t>
      </w:r>
      <w:r>
        <w:t xml:space="preserve"> </w:t>
      </w:r>
      <w:r>
        <w:rPr>
          <w:b/>
          <w:bCs/>
        </w:rPr>
        <w:t xml:space="preserve">unverified</w:t>
      </w:r>
      <w:r>
        <w:t xml:space="preserve"> </w:t>
      </w:r>
      <w:r>
        <w:t xml:space="preserve">unless noted.</w:t>
      </w:r>
    </w:p>
    <w:p>
      <w:pPr>
        <w:pStyle w:val="Compact"/>
        <w:numPr>
          <w:ilvl w:val="0"/>
          <w:numId w:val="1003"/>
        </w:numPr>
      </w:pPr>
      <w:r>
        <w:rPr>
          <w:b/>
          <w:bCs/>
        </w:rPr>
        <w:t xml:space="preserve">Who wrote what:</w:t>
      </w:r>
    </w:p>
    <w:p>
      <w:pPr>
        <w:pStyle w:val="Compact"/>
        <w:numPr>
          <w:ilvl w:val="1"/>
          <w:numId w:val="1004"/>
        </w:numPr>
      </w:pPr>
      <w:r>
        <w:t xml:space="preserve">The main body is my analysis of the company and its risks.</w:t>
      </w:r>
    </w:p>
    <w:p>
      <w:pPr>
        <w:pStyle w:val="Compact"/>
        <w:numPr>
          <w:ilvl w:val="1"/>
          <w:numId w:val="1004"/>
        </w:numPr>
      </w:pPr>
      <w:r>
        <w:t xml:space="preserve">Appendices A and B are the Gemini research reports.</w:t>
      </w:r>
    </w:p>
    <w:p>
      <w:pPr>
        <w:pStyle w:val="Compact"/>
        <w:numPr>
          <w:ilvl w:val="1"/>
          <w:numId w:val="1004"/>
        </w:numPr>
      </w:pPr>
      <w:r>
        <w:t xml:space="preserve">Appendices C and D are Gemini’s educational scenario of possible long-term approaches and</w:t>
      </w:r>
      <w:r>
        <w:t xml:space="preserve"> </w:t>
      </w:r>
      <w:r>
        <w:t xml:space="preserve">position plans. I have reviewed them (section 11), but they are not my recommendations.</w:t>
      </w:r>
    </w:p>
    <w:p>
      <w:pPr>
        <w:pStyle w:val="Compact"/>
        <w:numPr>
          <w:ilvl w:val="0"/>
          <w:numId w:val="1003"/>
        </w:numPr>
      </w:pPr>
      <w:r>
        <w:rPr>
          <w:b/>
          <w:bCs/>
        </w:rPr>
        <w:t xml:space="preserve">Not advice:</w:t>
      </w:r>
      <w:r>
        <w:t xml:space="preserve"> </w:t>
      </w:r>
      <w:r>
        <w:t xml:space="preserve">this is educational material, not financial, tax or legal advice.</w:t>
      </w:r>
    </w:p>
    <w:bookmarkEnd w:id="10"/>
    <w:bookmarkStart w:id="11" w:name="fact-check-and-review-notes"/>
    <w:p>
      <w:pPr>
        <w:pStyle w:val="Heading1"/>
      </w:pPr>
      <w:r>
        <w:t xml:space="preserve">Fact-check and review notes</w:t>
      </w:r>
    </w:p>
    <w:p>
      <w:pPr>
        <w:pStyle w:val="FirstParagraph"/>
      </w:pPr>
      <w:r>
        <w:rPr>
          <w:b/>
          <w:bCs/>
        </w:rPr>
        <w:t xml:space="preserve">Verified against SEC filings (FY2026 earnings release of 24 Sept 2026, FY2025 10-K, 8-Ks):</w:t>
      </w:r>
    </w:p>
    <w:p>
      <w:pPr>
        <w:pStyle w:val="Compact"/>
        <w:numPr>
          <w:ilvl w:val="0"/>
          <w:numId w:val="1005"/>
        </w:numPr>
      </w:pPr>
      <w:r>
        <w:rPr>
          <w:b/>
          <w:bCs/>
        </w:rPr>
        <w:t xml:space="preserve">Headline FY2026 results:</w:t>
      </w:r>
      <w:r>
        <w:t xml:space="preserve"> </w:t>
      </w:r>
      <w:r>
        <w:t xml:space="preserve">revenue $303.15B (+10.1%), net income $9.226B, diluted EPS $20.76</w:t>
      </w:r>
      <w:r>
        <w:t xml:space="preserve"> </w:t>
      </w:r>
      <w:r>
        <w:t xml:space="preserve">(+14.0%).</w:t>
      </w:r>
    </w:p>
    <w:p>
      <w:pPr>
        <w:pStyle w:val="Compact"/>
        <w:numPr>
          <w:ilvl w:val="0"/>
          <w:numId w:val="1005"/>
        </w:numPr>
      </w:pPr>
      <w:r>
        <w:rPr>
          <w:b/>
          <w:bCs/>
        </w:rPr>
        <w:t xml:space="preserve">Membership fees</w:t>
      </w:r>
      <w:r>
        <w:t xml:space="preserve"> </w:t>
      </w:r>
      <w:r>
        <w:t xml:space="preserve">$5.907B (+11.0%).</w:t>
      </w:r>
    </w:p>
    <w:p>
      <w:pPr>
        <w:pStyle w:val="Compact"/>
        <w:numPr>
          <w:ilvl w:val="0"/>
          <w:numId w:val="1005"/>
        </w:numPr>
      </w:pPr>
      <w:r>
        <w:rPr>
          <w:b/>
          <w:bCs/>
        </w:rPr>
        <w:t xml:space="preserve">Cash flow:</w:t>
      </w:r>
      <w:r>
        <w:t xml:space="preserve"> </w:t>
      </w:r>
      <w:r>
        <w:t xml:space="preserve">operating cash flow $15.83B, capital spending $6.44B, free cash flow $9.39B (+19.8%).</w:t>
      </w:r>
    </w:p>
    <w:p>
      <w:pPr>
        <w:pStyle w:val="Compact"/>
        <w:numPr>
          <w:ilvl w:val="0"/>
          <w:numId w:val="1005"/>
        </w:numPr>
      </w:pPr>
      <w:r>
        <w:rPr>
          <w:b/>
          <w:bCs/>
        </w:rPr>
        <w:t xml:space="preserve">Balance sheet:</w:t>
      </w:r>
      <w:r>
        <w:t xml:space="preserve"> </w:t>
      </w:r>
      <w:r>
        <w:t xml:space="preserve">cash $20.21B plus short-term investments $1.09B; debt $6.16B.</w:t>
      </w:r>
    </w:p>
    <w:p>
      <w:pPr>
        <w:pStyle w:val="Compact"/>
        <w:numPr>
          <w:ilvl w:val="0"/>
          <w:numId w:val="1005"/>
        </w:numPr>
      </w:pPr>
      <w:r>
        <w:rPr>
          <w:b/>
          <w:bCs/>
        </w:rPr>
        <w:t xml:space="preserve">Capital returns and footprint:</w:t>
      </w:r>
      <w:r>
        <w:t xml:space="preserve"> </w:t>
      </w:r>
      <w:r>
        <w:t xml:space="preserve">dividends paid $2.46B, buybacks $0.85B, 939 warehouses.</w:t>
      </w:r>
    </w:p>
    <w:p>
      <w:pPr>
        <w:pStyle w:val="Compact"/>
        <w:numPr>
          <w:ilvl w:val="0"/>
          <w:numId w:val="1005"/>
        </w:numPr>
      </w:pPr>
      <w:r>
        <w:rPr>
          <w:b/>
          <w:bCs/>
        </w:rPr>
        <w:t xml:space="preserve">Ten-year history</w:t>
      </w:r>
      <w:r>
        <w:t xml:space="preserve"> </w:t>
      </w:r>
      <w:r>
        <w:t xml:space="preserve">(revenue, EPS, margins): matches SEC data.</w:t>
      </w:r>
    </w:p>
    <w:p>
      <w:pPr>
        <w:pStyle w:val="Compact"/>
        <w:numPr>
          <w:ilvl w:val="0"/>
          <w:numId w:val="1005"/>
        </w:numPr>
      </w:pPr>
      <w:r>
        <w:rPr>
          <w:b/>
          <w:bCs/>
        </w:rPr>
        <w:t xml:space="preserve">Special dividends:</w:t>
      </w:r>
      <w:r>
        <w:t xml:space="preserve"> </w:t>
      </w:r>
      <w:r>
        <w:t xml:space="preserve">$15/share (FY2024) and $7/share (FY2017).</w:t>
      </w:r>
    </w:p>
    <w:p>
      <w:pPr>
        <w:pStyle w:val="Compact"/>
        <w:numPr>
          <w:ilvl w:val="0"/>
          <w:numId w:val="1005"/>
        </w:numPr>
      </w:pPr>
      <w:r>
        <w:rPr>
          <w:b/>
          <w:bCs/>
        </w:rPr>
        <w:t xml:space="preserve">Q4 tariff item:</w:t>
      </w:r>
      <w:r>
        <w:t xml:space="preserve"> </w:t>
      </w:r>
      <w:r>
        <w:t xml:space="preserve">a one-time benefit of $0.15/share from tariff refunds.</w:t>
      </w:r>
    </w:p>
    <w:p>
      <w:pPr>
        <w:pStyle w:val="Compact"/>
        <w:numPr>
          <w:ilvl w:val="0"/>
          <w:numId w:val="1005"/>
        </w:numPr>
      </w:pPr>
      <w:r>
        <w:rPr>
          <w:b/>
          <w:bCs/>
        </w:rPr>
        <w:t xml:space="preserve">Insider trades:</w:t>
      </w:r>
      <w:r>
        <w:t xml:space="preserve"> </w:t>
      </w:r>
      <w:r>
        <w:t xml:space="preserve">no open-market purchases; about $12M of open-market sales across the last 30</w:t>
      </w:r>
      <w:r>
        <w:t xml:space="preserve"> </w:t>
      </w:r>
      <w:r>
        <w:t xml:space="preserve">insider filings, plus routine stock awards, tax withholding and gifts.</w:t>
      </w:r>
    </w:p>
    <w:p>
      <w:pPr>
        <w:pStyle w:val="Compact"/>
        <w:numPr>
          <w:ilvl w:val="0"/>
          <w:numId w:val="1005"/>
        </w:numPr>
      </w:pPr>
      <w:r>
        <w:rPr>
          <w:b/>
          <w:bCs/>
        </w:rPr>
        <w:t xml:space="preserve">Return on equity:</w:t>
      </w:r>
      <w:r>
        <w:t xml:space="preserve"> </w:t>
      </w:r>
      <w:r>
        <w:t xml:space="preserve">the 28.4% quoted by Gemini is on</w:t>
      </w:r>
      <w:r>
        <w:t xml:space="preserve"> </w:t>
      </w:r>
      <w:r>
        <w:rPr>
          <w:i/>
          <w:iCs/>
        </w:rPr>
        <w:t xml:space="preserve">average</w:t>
      </w:r>
      <w:r>
        <w:t xml:space="preserve"> </w:t>
      </w:r>
      <w:r>
        <w:t xml:space="preserve">equity. On year-end equity it</w:t>
      </w:r>
      <w:r>
        <w:t xml:space="preserve"> </w:t>
      </w:r>
      <w:r>
        <w:t xml:space="preserve">is 25.8%.</w:t>
      </w:r>
    </w:p>
    <w:p>
      <w:pPr>
        <w:pStyle w:val="FirstParagraph"/>
      </w:pPr>
      <w:r>
        <w:rPr>
          <w:b/>
          <w:bCs/>
        </w:rPr>
        <w:t xml:space="preserve">Errors or stale items in the Gemini output:</w:t>
      </w:r>
    </w:p>
    <w:p>
      <w:pPr>
        <w:pStyle w:val="Compact"/>
        <w:numPr>
          <w:ilvl w:val="0"/>
          <w:numId w:val="1006"/>
        </w:numPr>
      </w:pPr>
      <w:r>
        <w:rPr>
          <w:b/>
          <w:bCs/>
        </w:rPr>
        <w:t xml:space="preserve">Regular dividend:</w:t>
      </w:r>
      <w:r>
        <w:t xml:space="preserve"> </w:t>
      </w:r>
      <w:r>
        <w:t xml:space="preserve">Gemini says $5.20/year. It is</w:t>
      </w:r>
      <w:r>
        <w:t xml:space="preserve"> </w:t>
      </w:r>
      <w:r>
        <w:rPr>
          <w:b/>
          <w:bCs/>
        </w:rPr>
        <w:t xml:space="preserve">$5.88/year</w:t>
      </w:r>
      <w:r>
        <w:t xml:space="preserve"> </w:t>
      </w:r>
      <w:r>
        <w:t xml:space="preserve">($1.47 quarterly, raised 13%</w:t>
      </w:r>
      <w:r>
        <w:t xml:space="preserve"> </w:t>
      </w:r>
      <w:r>
        <w:t xml:space="preserve">on 15 April 2026 per 8-K). The yield at $922 is about 0.64%.</w:t>
      </w:r>
    </w:p>
    <w:p>
      <w:pPr>
        <w:pStyle w:val="Compact"/>
        <w:numPr>
          <w:ilvl w:val="0"/>
          <w:numId w:val="1006"/>
        </w:numPr>
      </w:pPr>
      <w:r>
        <w:rPr>
          <w:b/>
          <w:bCs/>
        </w:rPr>
        <w:t xml:space="preserve">Membership counts mixed up:</w:t>
      </w:r>
      <w:r>
        <w:t xml:space="preserve"> </w:t>
      </w:r>
      <w:r>
        <w:t xml:space="preserve">the strategy scenario calls 84.1M</w:t>
      </w:r>
      <w:r>
        <w:t xml:space="preserve"> </w:t>
      </w:r>
      <w:r>
        <w:t xml:space="preserve">“total cardholders”</w:t>
      </w:r>
      <w:r>
        <w:t xml:space="preserve">. 84.1M is</w:t>
      </w:r>
      <w:r>
        <w:t xml:space="preserve"> </w:t>
      </w:r>
      <w:r>
        <w:rPr>
          <w:i/>
          <w:iCs/>
        </w:rPr>
        <w:t xml:space="preserve">paid members</w:t>
      </w:r>
      <w:r>
        <w:t xml:space="preserve"> </w:t>
      </w:r>
      <w:r>
        <w:t xml:space="preserve">(search figure). Cardholders, which include household cards, were 145.2M at the</w:t>
      </w:r>
      <w:r>
        <w:t xml:space="preserve"> </w:t>
      </w:r>
      <w:r>
        <w:t xml:space="preserve">end of FY2025.</w:t>
      </w:r>
    </w:p>
    <w:p>
      <w:pPr>
        <w:pStyle w:val="Compact"/>
        <w:numPr>
          <w:ilvl w:val="0"/>
          <w:numId w:val="1006"/>
        </w:numPr>
      </w:pPr>
      <w:r>
        <w:rPr>
          <w:b/>
          <w:bCs/>
        </w:rPr>
        <w:t xml:space="preserve">Long-term return arithmetic</w:t>
      </w:r>
      <w:r>
        <w:t xml:space="preserve"> </w:t>
      </w:r>
      <w:r>
        <w:t xml:space="preserve">in the strategy scenario is too optimistic (section 11).</w:t>
      </w:r>
    </w:p>
    <w:p>
      <w:pPr>
        <w:pStyle w:val="Compact"/>
        <w:numPr>
          <w:ilvl w:val="0"/>
          <w:numId w:val="1006"/>
        </w:numPr>
      </w:pPr>
      <w:r>
        <w:rPr>
          <w:b/>
          <w:bCs/>
        </w:rPr>
        <w:t xml:space="preserve">Risk factors:</w:t>
      </w:r>
      <w:r>
        <w:t xml:space="preserve"> </w:t>
      </w:r>
      <w:r>
        <w:t xml:space="preserve">the Gemini SEC report lists generic ones because a bug in our 10-K reader</w:t>
      </w:r>
      <w:r>
        <w:t xml:space="preserve"> </w:t>
      </w:r>
      <w:r>
        <w:t xml:space="preserve">(now fixed) stopped it reading Costco’s risk-factor section. The company-specific risks in</w:t>
      </w:r>
      <w:r>
        <w:t xml:space="preserve"> </w:t>
      </w:r>
      <w:r>
        <w:t xml:space="preserve">section 8 come from the 10-K itself.</w:t>
      </w:r>
    </w:p>
    <w:p>
      <w:pPr>
        <w:pStyle w:val="FirstParagraph"/>
      </w:pPr>
      <w:r>
        <w:rPr>
          <w:b/>
          <w:bCs/>
        </w:rPr>
        <w:t xml:space="preserve">Unverified (from Google Search), worth confirming in the FY2026 10-K due in early October:</w:t>
      </w:r>
    </w:p>
    <w:p>
      <w:pPr>
        <w:pStyle w:val="Compact"/>
        <w:numPr>
          <w:ilvl w:val="0"/>
          <w:numId w:val="1007"/>
        </w:numPr>
      </w:pPr>
      <w:r>
        <w:t xml:space="preserve">Share price $921.99, market cap ~$409B, and the 10-year median P/E of ~38×. The 38× figure</w:t>
      </w:r>
      <w:r>
        <w:t xml:space="preserve"> </w:t>
      </w:r>
      <w:r>
        <w:t xml:space="preserve">anchors most of Gemini’s price levels.</w:t>
      </w:r>
    </w:p>
    <w:p>
      <w:pPr>
        <w:pStyle w:val="Compact"/>
        <w:numPr>
          <w:ilvl w:val="0"/>
          <w:numId w:val="1007"/>
        </w:numPr>
      </w:pPr>
      <w:r>
        <w:t xml:space="preserve">Paid members 84.1M (+3.8%) and Executive members +9.4%.</w:t>
      </w:r>
    </w:p>
    <w:p>
      <w:pPr>
        <w:pStyle w:val="Compact"/>
        <w:numPr>
          <w:ilvl w:val="0"/>
          <w:numId w:val="1007"/>
        </w:numPr>
      </w:pPr>
      <w:r>
        <w:t xml:space="preserve">The $152M LIFO inventory charge, and the</w:t>
      </w:r>
      <w:r>
        <w:t xml:space="preserve"> </w:t>
      </w:r>
      <w:r>
        <w:t xml:space="preserve">“pause on new Asian warehouses until 2028”</w:t>
      </w:r>
      <w:r>
        <w:t xml:space="preserve">.</w:t>
      </w:r>
    </w:p>
    <w:p>
      <w:pPr>
        <w:pStyle w:val="Compact"/>
        <w:numPr>
          <w:ilvl w:val="0"/>
          <w:numId w:val="1007"/>
        </w:numPr>
      </w:pPr>
      <w:r>
        <w:t xml:space="preserve">Analyst targets and the DOJ beef-price investigation.</w:t>
      </w:r>
    </w:p>
    <w:p>
      <w:pPr>
        <w:pStyle w:val="Compact"/>
        <w:numPr>
          <w:ilvl w:val="0"/>
          <w:numId w:val="1007"/>
        </w:numPr>
      </w:pPr>
      <w:r>
        <w:t xml:space="preserve">Some search sources are low quality (aggregators and stock-chat sites) alongside better ones.</w:t>
      </w:r>
    </w:p>
    <w:bookmarkEnd w:id="11"/>
    <w:bookmarkStart w:id="12" w:name="the-business"/>
    <w:p>
      <w:pPr>
        <w:pStyle w:val="Heading1"/>
      </w:pPr>
      <w:r>
        <w:t xml:space="preserve">The business</w:t>
      </w:r>
    </w:p>
    <w:p>
      <w:pPr>
        <w:pStyle w:val="FirstParagraph"/>
      </w:pPr>
      <w:r>
        <w:t xml:space="preserve">Costco’s model, as described in its 10-K:</w:t>
      </w:r>
    </w:p>
    <w:p>
      <w:pPr>
        <w:pStyle w:val="Compact"/>
        <w:numPr>
          <w:ilvl w:val="0"/>
          <w:numId w:val="1008"/>
        </w:numPr>
      </w:pPr>
      <w:r>
        <w:rPr>
          <w:b/>
          <w:bCs/>
        </w:rPr>
        <w:t xml:space="preserve">The formula:</w:t>
      </w:r>
      <w:r>
        <w:t xml:space="preserve"> </w:t>
      </w:r>
      <w:r>
        <w:t xml:space="preserve">a limited selection of high-volume items, bought in bulk and sold from no-frills</w:t>
      </w:r>
      <w:r>
        <w:t xml:space="preserve"> </w:t>
      </w:r>
      <w:r>
        <w:t xml:space="preserve">warehouses at gross margins far below other retailers (about 11% of sales).</w:t>
      </w:r>
    </w:p>
    <w:p>
      <w:pPr>
        <w:pStyle w:val="Compact"/>
        <w:numPr>
          <w:ilvl w:val="0"/>
          <w:numId w:val="1008"/>
        </w:numPr>
      </w:pPr>
      <w:r>
        <w:rPr>
          <w:b/>
          <w:bCs/>
        </w:rPr>
        <w:t xml:space="preserve">Suppliers fund the inventory.</w:t>
      </w:r>
      <w:r>
        <w:t xml:space="preserve"> </w:t>
      </w:r>
      <w:r>
        <w:t xml:space="preserve">Goods often sell before Costco has to pay for them.</w:t>
      </w:r>
    </w:p>
    <w:p>
      <w:pPr>
        <w:pStyle w:val="Compact"/>
        <w:numPr>
          <w:ilvl w:val="0"/>
          <w:numId w:val="1008"/>
        </w:numPr>
      </w:pPr>
      <w:r>
        <w:rPr>
          <w:b/>
          <w:bCs/>
        </w:rPr>
        <w:t xml:space="preserve">Membership:</w:t>
      </w:r>
    </w:p>
    <w:p>
      <w:pPr>
        <w:pStyle w:val="Compact"/>
        <w:numPr>
          <w:ilvl w:val="1"/>
          <w:numId w:val="1009"/>
        </w:numPr>
      </w:pPr>
      <w:r>
        <w:t xml:space="preserve">A $65/year basic fee in the U.S. The Executive tier costs $65 more and earns a 2% reward.</w:t>
      </w:r>
    </w:p>
    <w:p>
      <w:pPr>
        <w:pStyle w:val="Compact"/>
        <w:numPr>
          <w:ilvl w:val="1"/>
          <w:numId w:val="1009"/>
        </w:numPr>
      </w:pPr>
      <w:r>
        <w:t xml:space="preserve">Executive members made up 73.6% of worldwide sales in FY2025.</w:t>
      </w:r>
    </w:p>
    <w:p>
      <w:pPr>
        <w:pStyle w:val="Compact"/>
        <w:numPr>
          <w:ilvl w:val="1"/>
          <w:numId w:val="1009"/>
        </w:numPr>
      </w:pPr>
      <w:r>
        <w:t xml:space="preserve">81.0M paid members at the end of FY2025, up from 71.0M two years earlier.</w:t>
      </w:r>
    </w:p>
    <w:p>
      <w:pPr>
        <w:pStyle w:val="Compact"/>
        <w:numPr>
          <w:ilvl w:val="1"/>
          <w:numId w:val="1009"/>
        </w:numPr>
      </w:pPr>
      <w:r>
        <w:t xml:space="preserve">Renewal rate: 92.3% in the U.S. and Canada, 89.8% worldwide.</w:t>
      </w:r>
    </w:p>
    <w:p>
      <w:pPr>
        <w:pStyle w:val="Compact"/>
        <w:numPr>
          <w:ilvl w:val="0"/>
          <w:numId w:val="1008"/>
        </w:numPr>
      </w:pPr>
      <w:r>
        <w:rPr>
          <w:b/>
          <w:bCs/>
        </w:rPr>
        <w:t xml:space="preserve">Kirkland Signature,</w:t>
      </w:r>
      <w:r>
        <w:t xml:space="preserve"> </w:t>
      </w:r>
      <w:r>
        <w:t xml:space="preserve">the house brand, carries higher margins and builds loyalty. The 10-K</w:t>
      </w:r>
      <w:r>
        <w:t xml:space="preserve"> </w:t>
      </w:r>
      <w:r>
        <w:t xml:space="preserve">names it as a risk if quality slips.</w:t>
      </w:r>
    </w:p>
    <w:p>
      <w:pPr>
        <w:pStyle w:val="Compact"/>
        <w:numPr>
          <w:ilvl w:val="0"/>
          <w:numId w:val="1008"/>
        </w:numPr>
      </w:pPr>
      <w:r>
        <w:rPr>
          <w:b/>
          <w:bCs/>
        </w:rPr>
        <w:t xml:space="preserve">Sales mix:</w:t>
      </w:r>
      <w:r>
        <w:t xml:space="preserve"> </w:t>
      </w:r>
      <w:r>
        <w:t xml:space="preserve">gasoline is about 10% of sales. E-commerce is about 7%, and</w:t>
      </w:r>
      <w:r>
        <w:t xml:space="preserve"> </w:t>
      </w:r>
      <w:r>
        <w:t xml:space="preserve">“digitally-enabled”</w:t>
      </w:r>
      <w:r>
        <w:t xml:space="preserve"> </w:t>
      </w:r>
      <w:r>
        <w:t xml:space="preserve">sales about 10% (FY2025).</w:t>
      </w:r>
    </w:p>
    <w:p>
      <w:pPr>
        <w:pStyle w:val="Compact"/>
        <w:numPr>
          <w:ilvl w:val="0"/>
          <w:numId w:val="1008"/>
        </w:numPr>
      </w:pPr>
      <w:r>
        <w:rPr>
          <w:b/>
          <w:bCs/>
        </w:rPr>
        <w:t xml:space="preserve">Employees:</w:t>
      </w:r>
      <w:r>
        <w:t xml:space="preserve"> </w:t>
      </w:r>
      <w:r>
        <w:t xml:space="preserve">341,000. It keeps a deliberate focus on pay and retention, with about 94%</w:t>
      </w:r>
      <w:r>
        <w:t xml:space="preserve"> </w:t>
      </w:r>
      <w:r>
        <w:t xml:space="preserve">retention after one year in the U.S. and Canada.</w:t>
      </w:r>
    </w:p>
    <w:p>
      <w:pPr>
        <w:pStyle w:val="Compact"/>
        <w:numPr>
          <w:ilvl w:val="0"/>
          <w:numId w:val="1008"/>
        </w:numPr>
      </w:pPr>
      <w:r>
        <w:rPr>
          <w:b/>
          <w:bCs/>
        </w:rPr>
        <w:t xml:space="preserve">Where it earns:</w:t>
      </w:r>
      <w:r>
        <w:t xml:space="preserve"> </w:t>
      </w:r>
      <w:r>
        <w:t xml:space="preserve">the U.S. and Canada are 86% of net sales and 84% of operating income.</w:t>
      </w:r>
      <w:r>
        <w:t xml:space="preserve"> </w:t>
      </w:r>
      <w:r>
        <w:t xml:space="preserve">California alone is 26% of U.S. sales.</w:t>
      </w:r>
    </w:p>
    <w:p>
      <w:pPr>
        <w:pStyle w:val="FirstParagraph"/>
      </w:pPr>
      <w:r>
        <w:rPr>
          <w:b/>
          <w:bCs/>
        </w:rPr>
        <w:t xml:space="preserve">Why the model is durable:</w:t>
      </w:r>
      <w:r>
        <w:t xml:space="preserve"> </w:t>
      </w:r>
      <w:r>
        <w:t xml:space="preserve">the membership fee creates a commitment that brings members back.</w:t>
      </w:r>
      <w:r>
        <w:t xml:space="preserve"> </w:t>
      </w:r>
      <w:r>
        <w:t xml:space="preserve">Low prices keep renewals high. High volume keeps supplier costs low, which funds low prices.</w:t>
      </w:r>
      <w:r>
        <w:t xml:space="preserve"> </w:t>
      </w:r>
      <w:r>
        <w:t xml:space="preserve">Competitors find it hard to match that loop without the fee income.</w:t>
      </w:r>
    </w:p>
    <w:bookmarkEnd w:id="12"/>
    <w:bookmarkStart w:id="13" w:name="ten-year-financial-record"/>
    <w:p>
      <w:pPr>
        <w:pStyle w:val="Heading1"/>
      </w:pPr>
      <w:r>
        <w:t xml:space="preserve">Ten-year financial record</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Fiscal year</w:t>
            </w:r>
          </w:p>
        </w:tc>
        <w:tc>
          <w:tcPr/>
          <w:p>
            <w:pPr>
              <w:pStyle w:val="Compact"/>
            </w:pPr>
            <w:r>
              <w:t xml:space="preserve">Revenue</w:t>
            </w:r>
          </w:p>
        </w:tc>
        <w:tc>
          <w:tcPr/>
          <w:p>
            <w:pPr>
              <w:pStyle w:val="Compact"/>
            </w:pPr>
            <w:r>
              <w:t xml:space="preserve">Growth</w:t>
            </w:r>
          </w:p>
        </w:tc>
        <w:tc>
          <w:tcPr/>
          <w:p>
            <w:pPr>
              <w:pStyle w:val="Compact"/>
            </w:pPr>
            <w:r>
              <w:t xml:space="preserve">Op. margin</w:t>
            </w:r>
          </w:p>
        </w:tc>
        <w:tc>
          <w:tcPr/>
          <w:p>
            <w:pPr>
              <w:pStyle w:val="Compact"/>
            </w:pPr>
            <w:r>
              <w:t xml:space="preserve">Net margin</w:t>
            </w:r>
          </w:p>
        </w:tc>
        <w:tc>
          <w:tcPr/>
          <w:p>
            <w:pPr>
              <w:pStyle w:val="Compact"/>
            </w:pPr>
            <w:r>
              <w:t xml:space="preserve">Diluted EPS</w:t>
            </w:r>
          </w:p>
        </w:tc>
        <w:tc>
          <w:tcPr/>
          <w:p>
            <w:pPr>
              <w:pStyle w:val="Compact"/>
            </w:pPr>
            <w:r>
              <w:t xml:space="preserve">EPS growth</w:t>
            </w:r>
          </w:p>
        </w:tc>
        <w:tc>
          <w:tcPr/>
          <w:p>
            <w:pPr>
              <w:pStyle w:val="Compact"/>
            </w:pPr>
            <w:r>
              <w:t xml:space="preserve">Free cash flow</w:t>
            </w:r>
          </w:p>
        </w:tc>
        <w:tc>
          <w:tcPr/>
          <w:p>
            <w:pPr>
              <w:pStyle w:val="Compact"/>
            </w:pPr>
            <w:r>
              <w:t xml:space="preserve">Regular + special dividends/share</w:t>
            </w:r>
          </w:p>
        </w:tc>
      </w:tr>
      <w:tr>
        <w:tc>
          <w:tcPr/>
          <w:p>
            <w:pPr>
              <w:pStyle w:val="Compact"/>
            </w:pPr>
            <w:r>
              <w:t xml:space="preserve">FY2026*</w:t>
            </w:r>
          </w:p>
        </w:tc>
        <w:tc>
          <w:tcPr/>
          <w:p>
            <w:pPr>
              <w:pStyle w:val="Compact"/>
            </w:pPr>
            <w:r>
              <w:t xml:space="preserve">$303.2B</w:t>
            </w:r>
          </w:p>
        </w:tc>
        <w:tc>
          <w:tcPr/>
          <w:p>
            <w:pPr>
              <w:pStyle w:val="Compact"/>
            </w:pPr>
            <w:r>
              <w:t xml:space="preserve">10.1%</w:t>
            </w:r>
          </w:p>
        </w:tc>
        <w:tc>
          <w:tcPr/>
          <w:p>
            <w:pPr>
              <w:pStyle w:val="Compact"/>
            </w:pPr>
            <w:r>
              <w:t xml:space="preserve">3.9%</w:t>
            </w:r>
          </w:p>
        </w:tc>
        <w:tc>
          <w:tcPr/>
          <w:p>
            <w:pPr>
              <w:pStyle w:val="Compact"/>
            </w:pPr>
            <w:r>
              <w:t xml:space="preserve">3.0%</w:t>
            </w:r>
          </w:p>
        </w:tc>
        <w:tc>
          <w:tcPr/>
          <w:p>
            <w:pPr>
              <w:pStyle w:val="Compact"/>
            </w:pPr>
            <w:r>
              <w:t xml:space="preserve">$20.76</w:t>
            </w:r>
          </w:p>
        </w:tc>
        <w:tc>
          <w:tcPr/>
          <w:p>
            <w:pPr>
              <w:pStyle w:val="Compact"/>
            </w:pPr>
            <w:r>
              <w:t xml:space="preserve">14.0%</w:t>
            </w:r>
          </w:p>
        </w:tc>
        <w:tc>
          <w:tcPr/>
          <w:p>
            <w:pPr>
              <w:pStyle w:val="Compact"/>
            </w:pPr>
            <w:r>
              <w:t xml:space="preserve">$9.39B</w:t>
            </w:r>
          </w:p>
        </w:tc>
        <w:tc>
          <w:tcPr/>
          <w:p>
            <w:pPr>
              <w:pStyle w:val="Compact"/>
            </w:pPr>
            <w:r>
              <w:t xml:space="preserve">~$5.54 paid (now $5.88/yr)</w:t>
            </w:r>
          </w:p>
        </w:tc>
      </w:tr>
      <w:tr>
        <w:tc>
          <w:tcPr/>
          <w:p>
            <w:pPr>
              <w:pStyle w:val="Compact"/>
            </w:pPr>
            <w:r>
              <w:t xml:space="preserve">FY2025</w:t>
            </w:r>
          </w:p>
        </w:tc>
        <w:tc>
          <w:tcPr/>
          <w:p>
            <w:pPr>
              <w:pStyle w:val="Compact"/>
            </w:pPr>
            <w:r>
              <w:t xml:space="preserve">$275.2B</w:t>
            </w:r>
          </w:p>
        </w:tc>
        <w:tc>
          <w:tcPr/>
          <w:p>
            <w:pPr>
              <w:pStyle w:val="Compact"/>
            </w:pPr>
            <w:r>
              <w:t xml:space="preserve">8.2%</w:t>
            </w:r>
          </w:p>
        </w:tc>
        <w:tc>
          <w:tcPr/>
          <w:p>
            <w:pPr>
              <w:pStyle w:val="Compact"/>
            </w:pPr>
            <w:r>
              <w:t xml:space="preserve">3.8%</w:t>
            </w:r>
          </w:p>
        </w:tc>
        <w:tc>
          <w:tcPr/>
          <w:p>
            <w:pPr>
              <w:pStyle w:val="Compact"/>
            </w:pPr>
            <w:r>
              <w:t xml:space="preserve">2.9%</w:t>
            </w:r>
          </w:p>
        </w:tc>
        <w:tc>
          <w:tcPr/>
          <w:p>
            <w:pPr>
              <w:pStyle w:val="Compact"/>
            </w:pPr>
            <w:r>
              <w:t xml:space="preserve">$18.21</w:t>
            </w:r>
          </w:p>
        </w:tc>
        <w:tc>
          <w:tcPr/>
          <w:p>
            <w:pPr>
              <w:pStyle w:val="Compact"/>
            </w:pPr>
            <w:r>
              <w:t xml:space="preserve">10.0%</w:t>
            </w:r>
          </w:p>
        </w:tc>
        <w:tc>
          <w:tcPr/>
          <w:p>
            <w:pPr>
              <w:pStyle w:val="Compact"/>
            </w:pPr>
            <w:r>
              <w:t xml:space="preserve">$7.84B</w:t>
            </w:r>
          </w:p>
        </w:tc>
        <w:tc>
          <w:tcPr/>
          <w:p>
            <w:pPr>
              <w:pStyle w:val="Compact"/>
            </w:pPr>
            <w:r>
              <w:t xml:space="preserve">$4.92</w:t>
            </w:r>
          </w:p>
        </w:tc>
      </w:tr>
      <w:tr>
        <w:tc>
          <w:tcPr/>
          <w:p>
            <w:pPr>
              <w:pStyle w:val="Compact"/>
            </w:pPr>
            <w:r>
              <w:t xml:space="preserve">FY2024</w:t>
            </w:r>
          </w:p>
        </w:tc>
        <w:tc>
          <w:tcPr/>
          <w:p>
            <w:pPr>
              <w:pStyle w:val="Compact"/>
            </w:pPr>
            <w:r>
              <w:t xml:space="preserve">$254.5B</w:t>
            </w:r>
          </w:p>
        </w:tc>
        <w:tc>
          <w:tcPr/>
          <w:p>
            <w:pPr>
              <w:pStyle w:val="Compact"/>
            </w:pPr>
            <w:r>
              <w:t xml:space="preserve">5.0%</w:t>
            </w:r>
          </w:p>
        </w:tc>
        <w:tc>
          <w:tcPr/>
          <w:p>
            <w:pPr>
              <w:pStyle w:val="Compact"/>
            </w:pPr>
            <w:r>
              <w:t xml:space="preserve">3.6%</w:t>
            </w:r>
          </w:p>
        </w:tc>
        <w:tc>
          <w:tcPr/>
          <w:p>
            <w:pPr>
              <w:pStyle w:val="Compact"/>
            </w:pPr>
            <w:r>
              <w:t xml:space="preserve">2.9%</w:t>
            </w:r>
          </w:p>
        </w:tc>
        <w:tc>
          <w:tcPr/>
          <w:p>
            <w:pPr>
              <w:pStyle w:val="Compact"/>
            </w:pPr>
            <w:r>
              <w:t xml:space="preserve">$16.56</w:t>
            </w:r>
          </w:p>
        </w:tc>
        <w:tc>
          <w:tcPr/>
          <w:p>
            <w:pPr>
              <w:pStyle w:val="Compact"/>
            </w:pPr>
            <w:r>
              <w:t xml:space="preserve">16.9%</w:t>
            </w:r>
          </w:p>
        </w:tc>
        <w:tc>
          <w:tcPr/>
          <w:p>
            <w:pPr>
              <w:pStyle w:val="Compact"/>
            </w:pPr>
            <w:r>
              <w:t xml:space="preserve">$6.63B</w:t>
            </w:r>
          </w:p>
        </w:tc>
        <w:tc>
          <w:tcPr/>
          <w:p>
            <w:pPr>
              <w:pStyle w:val="Compact"/>
            </w:pPr>
            <w:r>
              <w:t xml:space="preserve">$19.36 (incl. $15 special)</w:t>
            </w:r>
          </w:p>
        </w:tc>
      </w:tr>
      <w:tr>
        <w:tc>
          <w:tcPr/>
          <w:p>
            <w:pPr>
              <w:pStyle w:val="Compact"/>
            </w:pPr>
            <w:r>
              <w:t xml:space="preserve">FY2023</w:t>
            </w:r>
          </w:p>
        </w:tc>
        <w:tc>
          <w:tcPr/>
          <w:p>
            <w:pPr>
              <w:pStyle w:val="Compact"/>
            </w:pPr>
            <w:r>
              <w:t xml:space="preserve">$242.3B</w:t>
            </w:r>
          </w:p>
        </w:tc>
        <w:tc>
          <w:tcPr/>
          <w:p>
            <w:pPr>
              <w:pStyle w:val="Compact"/>
            </w:pPr>
            <w:r>
              <w:t xml:space="preserve">6.8%</w:t>
            </w:r>
          </w:p>
        </w:tc>
        <w:tc>
          <w:tcPr/>
          <w:p>
            <w:pPr>
              <w:pStyle w:val="Compact"/>
            </w:pPr>
            <w:r>
              <w:t xml:space="preserve">3.3%</w:t>
            </w:r>
          </w:p>
        </w:tc>
        <w:tc>
          <w:tcPr/>
          <w:p>
            <w:pPr>
              <w:pStyle w:val="Compact"/>
            </w:pPr>
            <w:r>
              <w:t xml:space="preserve">2.6%</w:t>
            </w:r>
          </w:p>
        </w:tc>
        <w:tc>
          <w:tcPr/>
          <w:p>
            <w:pPr>
              <w:pStyle w:val="Compact"/>
            </w:pPr>
            <w:r>
              <w:t xml:space="preserve">$14.16</w:t>
            </w:r>
          </w:p>
        </w:tc>
        <w:tc>
          <w:tcPr/>
          <w:p>
            <w:pPr>
              <w:pStyle w:val="Compact"/>
            </w:pPr>
            <w:r>
              <w:t xml:space="preserve">7.8%</w:t>
            </w:r>
          </w:p>
        </w:tc>
        <w:tc>
          <w:tcPr/>
          <w:p>
            <w:pPr>
              <w:pStyle w:val="Compact"/>
            </w:pPr>
            <w:r>
              <w:t xml:space="preserve">$6.75B</w:t>
            </w:r>
          </w:p>
        </w:tc>
        <w:tc>
          <w:tcPr/>
          <w:p>
            <w:pPr>
              <w:pStyle w:val="Compact"/>
            </w:pPr>
            <w:r>
              <w:t xml:space="preserve">$3.84</w:t>
            </w:r>
          </w:p>
        </w:tc>
      </w:tr>
      <w:tr>
        <w:tc>
          <w:tcPr/>
          <w:p>
            <w:pPr>
              <w:pStyle w:val="Compact"/>
            </w:pPr>
            <w:r>
              <w:t xml:space="preserve">FY2022</w:t>
            </w:r>
          </w:p>
        </w:tc>
        <w:tc>
          <w:tcPr/>
          <w:p>
            <w:pPr>
              <w:pStyle w:val="Compact"/>
            </w:pPr>
            <w:r>
              <w:t xml:space="preserve">$227.0B</w:t>
            </w:r>
          </w:p>
        </w:tc>
        <w:tc>
          <w:tcPr/>
          <w:p>
            <w:pPr>
              <w:pStyle w:val="Compact"/>
            </w:pPr>
            <w:r>
              <w:t xml:space="preserve">15.8%</w:t>
            </w:r>
          </w:p>
        </w:tc>
        <w:tc>
          <w:tcPr/>
          <w:p>
            <w:pPr>
              <w:pStyle w:val="Compact"/>
            </w:pPr>
            <w:r>
              <w:t xml:space="preserve">3.4%</w:t>
            </w:r>
          </w:p>
        </w:tc>
        <w:tc>
          <w:tcPr/>
          <w:p>
            <w:pPr>
              <w:pStyle w:val="Compact"/>
            </w:pPr>
            <w:r>
              <w:t xml:space="preserve">2.6%</w:t>
            </w:r>
          </w:p>
        </w:tc>
        <w:tc>
          <w:tcPr/>
          <w:p>
            <w:pPr>
              <w:pStyle w:val="Compact"/>
            </w:pPr>
            <w:r>
              <w:t xml:space="preserve">$13.14</w:t>
            </w:r>
          </w:p>
        </w:tc>
        <w:tc>
          <w:tcPr/>
          <w:p>
            <w:pPr>
              <w:pStyle w:val="Compact"/>
            </w:pPr>
            <w:r>
              <w:t xml:space="preserve">16.6%</w:t>
            </w:r>
          </w:p>
        </w:tc>
        <w:tc>
          <w:tcPr/>
          <w:p>
            <w:pPr>
              <w:pStyle w:val="Compact"/>
            </w:pPr>
            <w:r>
              <w:t xml:space="preserve">$3.50B</w:t>
            </w:r>
          </w:p>
        </w:tc>
        <w:tc>
          <w:tcPr/>
          <w:p>
            <w:pPr>
              <w:pStyle w:val="Compact"/>
            </w:pPr>
            <w:r>
              <w:t xml:space="preserve">n/a in data</w:t>
            </w:r>
          </w:p>
        </w:tc>
      </w:tr>
      <w:tr>
        <w:tc>
          <w:tcPr/>
          <w:p>
            <w:pPr>
              <w:pStyle w:val="Compact"/>
            </w:pPr>
            <w:r>
              <w:t xml:space="preserve">FY2021</w:t>
            </w:r>
          </w:p>
        </w:tc>
        <w:tc>
          <w:tcPr/>
          <w:p>
            <w:pPr>
              <w:pStyle w:val="Compact"/>
            </w:pPr>
            <w:r>
              <w:t xml:space="preserve">$195.9B</w:t>
            </w:r>
          </w:p>
        </w:tc>
        <w:tc>
          <w:tcPr/>
          <w:p>
            <w:pPr>
              <w:pStyle w:val="Compact"/>
            </w:pPr>
            <w:r>
              <w:t xml:space="preserve">17.5%</w:t>
            </w:r>
          </w:p>
        </w:tc>
        <w:tc>
          <w:tcPr/>
          <w:p>
            <w:pPr>
              <w:pStyle w:val="Compact"/>
            </w:pPr>
            <w:r>
              <w:t xml:space="preserve">3.4%</w:t>
            </w:r>
          </w:p>
        </w:tc>
        <w:tc>
          <w:tcPr/>
          <w:p>
            <w:pPr>
              <w:pStyle w:val="Compact"/>
            </w:pPr>
            <w:r>
              <w:t xml:space="preserve">2.6%</w:t>
            </w:r>
          </w:p>
        </w:tc>
        <w:tc>
          <w:tcPr/>
          <w:p>
            <w:pPr>
              <w:pStyle w:val="Compact"/>
            </w:pPr>
            <w:r>
              <w:t xml:space="preserve">$11.27</w:t>
            </w:r>
          </w:p>
        </w:tc>
        <w:tc>
          <w:tcPr/>
          <w:p>
            <w:pPr>
              <w:pStyle w:val="Compact"/>
            </w:pPr>
            <w:r>
              <w:t xml:space="preserve">24.9%</w:t>
            </w:r>
          </w:p>
        </w:tc>
        <w:tc>
          <w:tcPr/>
          <w:p>
            <w:pPr>
              <w:pStyle w:val="Compact"/>
            </w:pPr>
            <w:r>
              <w:t xml:space="preserve">$5.37B</w:t>
            </w:r>
          </w:p>
        </w:tc>
        <w:tc>
          <w:tcPr/>
          <w:p>
            <w:pPr>
              <w:pStyle w:val="Compact"/>
            </w:pPr>
            <w:r>
              <w:t xml:space="preserve">n/a (incl. $10 special)</w:t>
            </w:r>
          </w:p>
        </w:tc>
      </w:tr>
      <w:tr>
        <w:tc>
          <w:tcPr/>
          <w:p>
            <w:pPr>
              <w:pStyle w:val="Compact"/>
            </w:pPr>
            <w:r>
              <w:t xml:space="preserve">FY2020</w:t>
            </w:r>
          </w:p>
        </w:tc>
        <w:tc>
          <w:tcPr/>
          <w:p>
            <w:pPr>
              <w:pStyle w:val="Compact"/>
            </w:pPr>
            <w:r>
              <w:t xml:space="preserve">$166.8B</w:t>
            </w:r>
          </w:p>
        </w:tc>
        <w:tc>
          <w:tcPr/>
          <w:p>
            <w:pPr>
              <w:pStyle w:val="Compact"/>
            </w:pPr>
            <w:r>
              <w:t xml:space="preserve">9.2%</w:t>
            </w:r>
          </w:p>
        </w:tc>
        <w:tc>
          <w:tcPr/>
          <w:p>
            <w:pPr>
              <w:pStyle w:val="Compact"/>
            </w:pPr>
            <w:r>
              <w:t xml:space="preserve">3.3%</w:t>
            </w:r>
          </w:p>
        </w:tc>
        <w:tc>
          <w:tcPr/>
          <w:p>
            <w:pPr>
              <w:pStyle w:val="Compact"/>
            </w:pPr>
            <w:r>
              <w:t xml:space="preserve">2.4%</w:t>
            </w:r>
          </w:p>
        </w:tc>
        <w:tc>
          <w:tcPr/>
          <w:p>
            <w:pPr>
              <w:pStyle w:val="Compact"/>
            </w:pPr>
            <w:r>
              <w:t xml:space="preserve">$9.02</w:t>
            </w:r>
          </w:p>
        </w:tc>
        <w:tc>
          <w:tcPr/>
          <w:p>
            <w:pPr>
              <w:pStyle w:val="Compact"/>
            </w:pPr>
            <w:r>
              <w:t xml:space="preserve">9.2%</w:t>
            </w:r>
          </w:p>
        </w:tc>
        <w:tc>
          <w:tcPr/>
          <w:p>
            <w:pPr>
              <w:pStyle w:val="Compact"/>
            </w:pPr>
            <w:r>
              <w:t xml:space="preserve">$6.05B</w:t>
            </w:r>
          </w:p>
        </w:tc>
        <w:tc>
          <w:tcPr/>
          <w:p>
            <w:pPr>
              <w:pStyle w:val="Compact"/>
            </w:pPr>
            <w:r>
              <w:t xml:space="preserve">n/a in data</w:t>
            </w:r>
          </w:p>
        </w:tc>
      </w:tr>
      <w:tr>
        <w:tc>
          <w:tcPr/>
          <w:p>
            <w:pPr>
              <w:pStyle w:val="Compact"/>
            </w:pPr>
            <w:r>
              <w:t xml:space="preserve">FY2019</w:t>
            </w:r>
          </w:p>
        </w:tc>
        <w:tc>
          <w:tcPr/>
          <w:p>
            <w:pPr>
              <w:pStyle w:val="Compact"/>
            </w:pPr>
            <w:r>
              <w:t xml:space="preserve">$152.7B</w:t>
            </w:r>
          </w:p>
        </w:tc>
        <w:tc>
          <w:tcPr/>
          <w:p>
            <w:pPr>
              <w:pStyle w:val="Compact"/>
            </w:pPr>
            <w:r>
              <w:t xml:space="preserve">7.9%</w:t>
            </w:r>
          </w:p>
        </w:tc>
        <w:tc>
          <w:tcPr/>
          <w:p>
            <w:pPr>
              <w:pStyle w:val="Compact"/>
            </w:pPr>
            <w:r>
              <w:t xml:space="preserve">3.1%</w:t>
            </w:r>
          </w:p>
        </w:tc>
        <w:tc>
          <w:tcPr/>
          <w:p>
            <w:pPr>
              <w:pStyle w:val="Compact"/>
            </w:pPr>
            <w:r>
              <w:t xml:space="preserve">2.4%</w:t>
            </w:r>
          </w:p>
        </w:tc>
        <w:tc>
          <w:tcPr/>
          <w:p>
            <w:pPr>
              <w:pStyle w:val="Compact"/>
            </w:pPr>
            <w:r>
              <w:t xml:space="preserve">$8.26</w:t>
            </w:r>
          </w:p>
        </w:tc>
        <w:tc>
          <w:tcPr/>
          <w:p>
            <w:pPr>
              <w:pStyle w:val="Compact"/>
            </w:pPr>
            <w:r>
              <w:t xml:space="preserve">16.5%</w:t>
            </w:r>
          </w:p>
        </w:tc>
        <w:tc>
          <w:tcPr/>
          <w:p>
            <w:pPr>
              <w:pStyle w:val="Compact"/>
            </w:pPr>
            <w:r>
              <w:t xml:space="preserve">$3.36B</w:t>
            </w:r>
          </w:p>
        </w:tc>
        <w:tc>
          <w:tcPr/>
          <w:p>
            <w:pPr>
              <w:pStyle w:val="Compact"/>
            </w:pPr>
            <w:r>
              <w:t xml:space="preserve">$2.44</w:t>
            </w:r>
          </w:p>
        </w:tc>
      </w:tr>
      <w:tr>
        <w:tc>
          <w:tcPr/>
          <w:p>
            <w:pPr>
              <w:pStyle w:val="Compact"/>
            </w:pPr>
            <w:r>
              <w:t xml:space="preserve">FY2018</w:t>
            </w:r>
          </w:p>
        </w:tc>
        <w:tc>
          <w:tcPr/>
          <w:p>
            <w:pPr>
              <w:pStyle w:val="Compact"/>
            </w:pPr>
            <w:r>
              <w:t xml:space="preserve">$141.6B</w:t>
            </w:r>
          </w:p>
        </w:tc>
        <w:tc>
          <w:tcPr/>
          <w:p>
            <w:pPr>
              <w:pStyle w:val="Compact"/>
            </w:pPr>
            <w:r>
              <w:t xml:space="preserve">9.7%</w:t>
            </w:r>
          </w:p>
        </w:tc>
        <w:tc>
          <w:tcPr/>
          <w:p>
            <w:pPr>
              <w:pStyle w:val="Compact"/>
            </w:pPr>
            <w:r>
              <w:t xml:space="preserve">3.2%</w:t>
            </w:r>
          </w:p>
        </w:tc>
        <w:tc>
          <w:tcPr/>
          <w:p>
            <w:pPr>
              <w:pStyle w:val="Compact"/>
            </w:pPr>
            <w:r>
              <w:t xml:space="preserve">2.2%</w:t>
            </w:r>
          </w:p>
        </w:tc>
        <w:tc>
          <w:tcPr/>
          <w:p>
            <w:pPr>
              <w:pStyle w:val="Compact"/>
            </w:pPr>
            <w:r>
              <w:t xml:space="preserve">$7.09</w:t>
            </w:r>
          </w:p>
        </w:tc>
        <w:tc>
          <w:tcPr/>
          <w:p>
            <w:pPr>
              <w:pStyle w:val="Compact"/>
            </w:pPr>
            <w:r>
              <w:t xml:space="preserve">16.6%</w:t>
            </w:r>
          </w:p>
        </w:tc>
        <w:tc>
          <w:tcPr/>
          <w:p>
            <w:pPr>
              <w:pStyle w:val="Compact"/>
            </w:pPr>
            <w:r>
              <w:t xml:space="preserve">$2.81B</w:t>
            </w:r>
          </w:p>
        </w:tc>
        <w:tc>
          <w:tcPr/>
          <w:p>
            <w:pPr>
              <w:pStyle w:val="Compact"/>
            </w:pPr>
            <w:r>
              <w:t xml:space="preserve">$2.14</w:t>
            </w:r>
          </w:p>
        </w:tc>
      </w:tr>
      <w:tr>
        <w:tc>
          <w:tcPr/>
          <w:p>
            <w:pPr>
              <w:pStyle w:val="Compact"/>
            </w:pPr>
            <w:r>
              <w:t xml:space="preserve">FY2017</w:t>
            </w:r>
          </w:p>
        </w:tc>
        <w:tc>
          <w:tcPr/>
          <w:p>
            <w:pPr>
              <w:pStyle w:val="Compact"/>
            </w:pPr>
            <w:r>
              <w:t xml:space="preserve">$129.0B</w:t>
            </w:r>
          </w:p>
        </w:tc>
        <w:tc>
          <w:tcPr/>
          <w:p>
            <w:pPr>
              <w:pStyle w:val="Compact"/>
            </w:pPr>
            <w:r>
              <w:t xml:space="preserve">8.7%</w:t>
            </w:r>
          </w:p>
        </w:tc>
        <w:tc>
          <w:tcPr/>
          <w:p>
            <w:pPr>
              <w:pStyle w:val="Compact"/>
            </w:pPr>
            <w:r>
              <w:t xml:space="preserve">3.2%</w:t>
            </w:r>
          </w:p>
        </w:tc>
        <w:tc>
          <w:tcPr/>
          <w:p>
            <w:pPr>
              <w:pStyle w:val="Compact"/>
            </w:pPr>
            <w:r>
              <w:t xml:space="preserve">2.1%</w:t>
            </w:r>
          </w:p>
        </w:tc>
        <w:tc>
          <w:tcPr/>
          <w:p>
            <w:pPr>
              <w:pStyle w:val="Compact"/>
            </w:pPr>
            <w:r>
              <w:t xml:space="preserve">$6.08</w:t>
            </w:r>
          </w:p>
        </w:tc>
        <w:tc>
          <w:tcPr/>
          <w:p>
            <w:pPr>
              <w:pStyle w:val="Compact"/>
            </w:pPr>
            <w:r>
              <w:t xml:space="preserve">14.1%</w:t>
            </w:r>
          </w:p>
        </w:tc>
        <w:tc>
          <w:tcPr/>
          <w:p>
            <w:pPr>
              <w:pStyle w:val="Compact"/>
            </w:pPr>
            <w:r>
              <w:t xml:space="preserve">$4.22B</w:t>
            </w:r>
          </w:p>
        </w:tc>
        <w:tc>
          <w:tcPr/>
          <w:p>
            <w:pPr>
              <w:pStyle w:val="Compact"/>
            </w:pPr>
            <w:r>
              <w:t xml:space="preserve">$8.90 (incl. $7 special)</w:t>
            </w:r>
          </w:p>
        </w:tc>
      </w:tr>
      <w:tr>
        <w:tc>
          <w:tcPr/>
          <w:p>
            <w:pPr>
              <w:pStyle w:val="Compact"/>
            </w:pPr>
            <w:r>
              <w:t xml:space="preserve">FY2016</w:t>
            </w:r>
          </w:p>
        </w:tc>
        <w:tc>
          <w:tcPr/>
          <w:p>
            <w:pPr>
              <w:pStyle w:val="Compact"/>
            </w:pPr>
            <w:r>
              <w:t xml:space="preserve">$118.7B</w:t>
            </w:r>
          </w:p>
        </w:tc>
        <w:tc>
          <w:tcPr/>
          <w:p>
            <w:pPr>
              <w:pStyle w:val="Compact"/>
            </w:pPr>
            <w:r>
              <w:t xml:space="preserve">2.2%</w:t>
            </w:r>
          </w:p>
        </w:tc>
        <w:tc>
          <w:tcPr/>
          <w:p>
            <w:pPr>
              <w:pStyle w:val="Compact"/>
            </w:pPr>
            <w:r>
              <w:t xml:space="preserve">3.1%</w:t>
            </w:r>
          </w:p>
        </w:tc>
        <w:tc>
          <w:tcPr/>
          <w:p>
            <w:pPr>
              <w:pStyle w:val="Compact"/>
            </w:pPr>
            <w:r>
              <w:t xml:space="preserve">2.0%</w:t>
            </w:r>
          </w:p>
        </w:tc>
        <w:tc>
          <w:tcPr/>
          <w:p>
            <w:pPr>
              <w:pStyle w:val="Compact"/>
            </w:pPr>
            <w:r>
              <w:t xml:space="preserve">$5.33</w:t>
            </w:r>
          </w:p>
        </w:tc>
        <w:tc>
          <w:tcPr/>
          <w:p>
            <w:pPr>
              <w:pStyle w:val="Compact"/>
            </w:pPr>
            <w:r>
              <w:t xml:space="preserve">-0.7%</w:t>
            </w:r>
          </w:p>
        </w:tc>
        <w:tc>
          <w:tcPr/>
          <w:p>
            <w:pPr>
              <w:pStyle w:val="Compact"/>
            </w:pPr>
            <w:r>
              <w:t xml:space="preserve">n/a</w:t>
            </w:r>
          </w:p>
        </w:tc>
        <w:tc>
          <w:tcPr/>
          <w:p>
            <w:pPr>
              <w:pStyle w:val="Compact"/>
            </w:pPr>
            <w:r>
              <w:t xml:space="preserve">$1.70</w:t>
            </w:r>
          </w:p>
        </w:tc>
      </w:tr>
    </w:tbl>
    <w:p>
      <w:pPr>
        <w:pStyle w:val="BodyText"/>
      </w:pPr>
      <w:r>
        <w:rPr>
          <w:i/>
          <w:iCs/>
        </w:rPr>
        <w:t xml:space="preserve">FY2026 is from the unaudited earnings release; the audited 10-K is due in early October 2026.</w:t>
      </w:r>
      <w:r>
        <w:rPr>
          <w:i/>
          <w:iCs/>
        </w:rPr>
        <w:t xml:space="preserve"> </w:t>
      </w:r>
      <w:r>
        <w:rPr>
          <w:i/>
          <w:iCs/>
        </w:rPr>
        <w:t xml:space="preserve">FY2023 had 53 weeks.</w:t>
      </w:r>
      <w:r>
        <w:rPr>
          <w:i/>
          <w:iCs/>
        </w:rPr>
        <w:t xml:space="preserve"> </w:t>
      </w:r>
      <w:r>
        <w:rPr>
          <w:i/>
          <w:iCs/>
        </w:rPr>
        <w:t xml:space="preserve">“n/a”</w:t>
      </w:r>
      <w:r>
        <w:rPr>
          <w:i/>
          <w:iCs/>
        </w:rPr>
        <w:t xml:space="preserve"> </w:t>
      </w:r>
      <w:r>
        <w:rPr>
          <w:i/>
          <w:iCs/>
        </w:rPr>
        <w:t xml:space="preserve">means the figure is missing from the SEC data feed.</w:t>
      </w:r>
      <w:r>
        <w:rPr>
          <w:i/>
          <w:iCs/>
        </w:rPr>
        <w:t xml:space="preserve"> </w:t>
      </w:r>
      <w:r>
        <w:rPr>
          <w:i/>
          <w:iCs/>
        </w:rPr>
        <w:t xml:space="preserve">The $10 special dividend (December 2020) is from my general knowledge, not this data.</w:t>
      </w:r>
    </w:p>
    <w:p>
      <w:pPr>
        <w:pStyle w:val="BodyText"/>
      </w:pPr>
      <w:r>
        <w:rPr>
          <w:b/>
          <w:bCs/>
        </w:rPr>
        <w:t xml:space="preserve">What the record shows:</w:t>
      </w:r>
    </w:p>
    <w:p>
      <w:pPr>
        <w:pStyle w:val="Compact"/>
        <w:numPr>
          <w:ilvl w:val="0"/>
          <w:numId w:val="1010"/>
        </w:numPr>
      </w:pPr>
      <w:r>
        <w:rPr>
          <w:b/>
          <w:bCs/>
        </w:rPr>
        <w:t xml:space="preserve">Growth:</w:t>
      </w:r>
      <w:r>
        <w:t xml:space="preserve"> </w:t>
      </w:r>
      <w:r>
        <w:t xml:space="preserve">remarkably consistent. Revenue grew every year, and EPS fell only once (FY2016,</w:t>
      </w:r>
      <w:r>
        <w:t xml:space="preserve"> </w:t>
      </w:r>
      <w:r>
        <w:t xml:space="preserve">-0.7%). There were boosts in FY2021–22, from pandemic demand and inflation.</w:t>
      </w:r>
    </w:p>
    <w:p>
      <w:pPr>
        <w:pStyle w:val="Compact"/>
        <w:numPr>
          <w:ilvl w:val="0"/>
          <w:numId w:val="1010"/>
        </w:numPr>
      </w:pPr>
      <w:r>
        <w:rPr>
          <w:b/>
          <w:bCs/>
        </w:rPr>
        <w:t xml:space="preserve">Margins:</w:t>
      </w:r>
      <w:r>
        <w:t xml:space="preserve"> </w:t>
      </w:r>
      <w:r>
        <w:t xml:space="preserve">slowly widening (operating margin 3.1% → 3.9%). The gain comes from membership fees</w:t>
      </w:r>
      <w:r>
        <w:t xml:space="preserve"> </w:t>
      </w:r>
      <w:r>
        <w:t xml:space="preserve">and cost control, not from charging more for goods.</w:t>
      </w:r>
    </w:p>
    <w:p>
      <w:pPr>
        <w:pStyle w:val="Compact"/>
        <w:numPr>
          <w:ilvl w:val="0"/>
          <w:numId w:val="1010"/>
        </w:numPr>
      </w:pPr>
      <w:r>
        <w:rPr>
          <w:b/>
          <w:bCs/>
        </w:rPr>
        <w:t xml:space="preserve">Cash:</w:t>
      </w:r>
      <w:r>
        <w:t xml:space="preserve"> </w:t>
      </w:r>
      <w:r>
        <w:t xml:space="preserve">free cash flow roughly matches net income (FY2026: 102%), so reported profits are</w:t>
      </w:r>
      <w:r>
        <w:t xml:space="preserve"> </w:t>
      </w:r>
      <w:r>
        <w:t xml:space="preserve">backed by cash. FY2026 free cash flow was helped by $2.3B of working-capital timing, which</w:t>
      </w:r>
      <w:r>
        <w:t xml:space="preserve"> </w:t>
      </w:r>
      <w:r>
        <w:t xml:space="preserve">can reverse.</w:t>
      </w:r>
    </w:p>
    <w:p>
      <w:pPr>
        <w:pStyle w:val="Compact"/>
        <w:numPr>
          <w:ilvl w:val="0"/>
          <w:numId w:val="1010"/>
        </w:numPr>
      </w:pPr>
      <w:r>
        <w:rPr>
          <w:b/>
          <w:bCs/>
        </w:rPr>
        <w:t xml:space="preserve">Capital allocation:</w:t>
      </w:r>
    </w:p>
    <w:p>
      <w:pPr>
        <w:pStyle w:val="Compact"/>
        <w:numPr>
          <w:ilvl w:val="1"/>
          <w:numId w:val="1011"/>
        </w:numPr>
      </w:pPr>
      <w:r>
        <w:t xml:space="preserve">Regular dividends are raised every year; the last two increases were 12% (2025) and 13%</w:t>
      </w:r>
      <w:r>
        <w:t xml:space="preserve"> </w:t>
      </w:r>
      <w:r>
        <w:t xml:space="preserve">(2026). There are occasional large specials funded from surplus cash.</w:t>
      </w:r>
    </w:p>
    <w:p>
      <w:pPr>
        <w:pStyle w:val="Compact"/>
        <w:numPr>
          <w:ilvl w:val="1"/>
          <w:numId w:val="1011"/>
        </w:numPr>
      </w:pPr>
      <w:r>
        <w:t xml:space="preserve">Buybacks mostly offset share awards to employees.</w:t>
      </w:r>
    </w:p>
    <w:p>
      <w:pPr>
        <w:pStyle w:val="Compact"/>
        <w:numPr>
          <w:ilvl w:val="1"/>
          <w:numId w:val="1011"/>
        </w:numPr>
      </w:pPr>
      <w:r>
        <w:t xml:space="preserve">Debt is modest and roughly stable, at about $6B. Capital spending is rising</w:t>
      </w:r>
      <w:r>
        <w:t xml:space="preserve"> </w:t>
      </w:r>
      <w:r>
        <w:t xml:space="preserve">($4.7B → $5.5B → $6.4B), mainly for new warehouses.</w:t>
      </w:r>
    </w:p>
    <w:bookmarkEnd w:id="13"/>
    <w:bookmarkStart w:id="14" w:name="valuation-in-context"/>
    <w:p>
      <w:pPr>
        <w:pStyle w:val="Heading1"/>
      </w:pPr>
      <w:r>
        <w:t xml:space="preserve">Valuation in context</w:t>
      </w:r>
    </w:p>
    <w:p>
      <w:pPr>
        <w:pStyle w:val="FirstParagraph"/>
      </w:pPr>
      <w:r>
        <w:rPr>
          <w:i/>
          <w:iCs/>
        </w:rPr>
        <w:t xml:space="preserve">Price data is from Google Search (29 Sept 2026) and unverified. P/E is my calculation from the</w:t>
      </w:r>
      <w:r>
        <w:rPr>
          <w:i/>
          <w:iCs/>
        </w:rPr>
        <w:t xml:space="preserve"> </w:t>
      </w:r>
      <w:r>
        <w:rPr>
          <w:i/>
          <w:iCs/>
        </w:rPr>
        <w:t xml:space="preserve">SEC EPS.</w:t>
      </w:r>
    </w:p>
    <w:p>
      <w:pPr>
        <w:pStyle w:val="Compact"/>
        <w:numPr>
          <w:ilvl w:val="0"/>
          <w:numId w:val="1012"/>
        </w:numPr>
      </w:pPr>
      <w:r>
        <w:rPr>
          <w:b/>
          <w:bCs/>
        </w:rPr>
        <w:t xml:space="preserve">Share price:</w:t>
      </w:r>
      <w:r>
        <w:t xml:space="preserve"> </w:t>
      </w:r>
      <w:r>
        <w:t xml:space="preserve">~$922.</w:t>
      </w:r>
      <w:r>
        <w:t xml:space="preserve"> </w:t>
      </w:r>
      <w:r>
        <w:rPr>
          <w:b/>
          <w:bCs/>
        </w:rPr>
        <w:t xml:space="preserve">Trailing P/E:</w:t>
      </w:r>
      <w:r>
        <w:t xml:space="preserve"> </w:t>
      </w:r>
      <w:r>
        <w:t xml:space="preserve">$922 ÷ $20.76 =</w:t>
      </w:r>
      <w:r>
        <w:t xml:space="preserve"> </w:t>
      </w:r>
      <w:r>
        <w:rPr>
          <w:b/>
          <w:bCs/>
        </w:rPr>
        <w:t xml:space="preserve">44.4×</w:t>
      </w:r>
      <w:r>
        <w:t xml:space="preserve">.</w:t>
      </w:r>
      <w:r>
        <w:t xml:space="preserve"> </w:t>
      </w:r>
      <w:r>
        <w:rPr>
          <w:b/>
          <w:bCs/>
        </w:rPr>
        <w:t xml:space="preserve">Earnings yield:</w:t>
      </w:r>
      <w:r>
        <w:t xml:space="preserve"> </w:t>
      </w:r>
      <w:r>
        <w:t xml:space="preserve">2.25%.</w:t>
      </w:r>
    </w:p>
    <w:p>
      <w:pPr>
        <w:pStyle w:val="Compact"/>
        <w:numPr>
          <w:ilvl w:val="0"/>
          <w:numId w:val="1012"/>
        </w:numPr>
      </w:pPr>
      <w:r>
        <w:rPr>
          <w:b/>
          <w:bCs/>
        </w:rPr>
        <w:t xml:space="preserve">Dividend yield:</w:t>
      </w:r>
      <w:r>
        <w:t xml:space="preserve"> </w:t>
      </w:r>
      <w:r>
        <w:t xml:space="preserve">$5.88 ÷ $922 ≈</w:t>
      </w:r>
      <w:r>
        <w:t xml:space="preserve"> </w:t>
      </w:r>
      <w:r>
        <w:rPr>
          <w:b/>
          <w:bCs/>
        </w:rPr>
        <w:t xml:space="preserve">0.64%</w:t>
      </w:r>
      <w:r>
        <w:t xml:space="preserve">.</w:t>
      </w:r>
    </w:p>
    <w:p>
      <w:pPr>
        <w:pStyle w:val="Compact"/>
        <w:numPr>
          <w:ilvl w:val="0"/>
          <w:numId w:val="1012"/>
        </w:numPr>
      </w:pPr>
      <w:r>
        <w:rPr>
          <w:b/>
          <w:bCs/>
        </w:rPr>
        <w:t xml:space="preserve">Versus its own history:</w:t>
      </w:r>
      <w:r>
        <w:t xml:space="preserve"> </w:t>
      </w:r>
      <w:r>
        <w:t xml:space="preserve">search sources put Costco’s 10-year median P/E at about 38× and its</w:t>
      </w:r>
      <w:r>
        <w:t xml:space="preserve"> </w:t>
      </w:r>
      <w:r>
        <w:t xml:space="preserve">2025 peak at about 62×. On that basis it is below its peak but still above its long-run norm.</w:t>
      </w:r>
    </w:p>
    <w:p>
      <w:pPr>
        <w:pStyle w:val="Compact"/>
        <w:numPr>
          <w:ilvl w:val="0"/>
          <w:numId w:val="1012"/>
        </w:numPr>
      </w:pPr>
      <w:r>
        <w:rPr>
          <w:b/>
          <w:bCs/>
        </w:rPr>
        <w:t xml:space="preserve">Versus peers</w:t>
      </w:r>
      <w:r>
        <w:t xml:space="preserve"> </w:t>
      </w:r>
      <w:r>
        <w:t xml:space="preserve">(search): Walmart ~39×, BJ’s ~21×, Target ~16×.</w:t>
      </w:r>
    </w:p>
    <w:p>
      <w:pPr>
        <w:pStyle w:val="Compact"/>
        <w:numPr>
          <w:ilvl w:val="0"/>
          <w:numId w:val="1012"/>
        </w:numPr>
      </w:pPr>
      <w:r>
        <w:rPr>
          <w:b/>
          <w:bCs/>
        </w:rPr>
        <w:t xml:space="preserve">Costco’s own view</w:t>
      </w:r>
      <w:r>
        <w:t xml:space="preserve"> </w:t>
      </w:r>
      <w:r>
        <w:t xml:space="preserve">(10-K risk factors): the stock</w:t>
      </w:r>
      <w:r>
        <w:t xml:space="preserve"> </w:t>
      </w:r>
      <w:r>
        <w:t xml:space="preserve">“reflects high market expectations”</w:t>
      </w:r>
      <w:r>
        <w:t xml:space="preserve">, and</w:t>
      </w:r>
      <w:r>
        <w:t xml:space="preserve"> </w:t>
      </w:r>
      <w:r>
        <w:t xml:space="preserve">missing them</w:t>
      </w:r>
      <w:r>
        <w:t xml:space="preserve"> </w:t>
      </w:r>
      <w:r>
        <w:t xml:space="preserve">“could cause the price of our stock to decline”</w:t>
      </w:r>
      <w:r>
        <w:t xml:space="preserve">.</w:t>
      </w:r>
    </w:p>
    <w:p>
      <w:pPr>
        <w:pStyle w:val="FirstParagraph"/>
      </w:pPr>
      <w:r>
        <w:rPr>
          <w:b/>
          <w:bCs/>
        </w:rPr>
        <w:t xml:space="preserve">What today’s price implies.</w:t>
      </w:r>
      <w:r>
        <w:t xml:space="preserve"> </w:t>
      </w:r>
      <w:r>
        <w:t xml:space="preserve">Over 10 years, the yearly price return is roughly earnings growth</w:t>
      </w:r>
      <w:r>
        <w:t xml:space="preserve"> </w:t>
      </w:r>
      <w:r>
        <w:t xml:space="preserve">adjusted for any change in the P/E. The table shows the approximate yearly</w:t>
      </w:r>
      <w:r>
        <w:t xml:space="preserve"> </w:t>
      </w:r>
      <w:r>
        <w:rPr>
          <w:i/>
          <w:iCs/>
        </w:rPr>
        <w:t xml:space="preserve">price</w:t>
      </w:r>
      <w:r>
        <w:t xml:space="preserve"> </w:t>
      </w:r>
      <w:r>
        <w:t xml:space="preserve">return from</w:t>
      </w:r>
      <w:r>
        <w:t xml:space="preserve"> </w:t>
      </w:r>
      <w:r>
        <w:t xml:space="preserve">$922 over 10 years for different combinations. Dividends would add about 0.6% a year, plus any</w:t>
      </w:r>
      <w:r>
        <w:t xml:space="preserve"> </w:t>
      </w:r>
      <w:r>
        <w:t xml:space="preserve">specials.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Earnings growth per year</w:t>
            </w:r>
          </w:p>
        </w:tc>
        <w:tc>
          <w:tcPr/>
          <w:p>
            <w:pPr>
              <w:pStyle w:val="Compact"/>
            </w:pPr>
            <w:r>
              <w:t xml:space="preserve">P/E falls to 25×</w:t>
            </w:r>
          </w:p>
        </w:tc>
        <w:tc>
          <w:tcPr/>
          <w:p>
            <w:pPr>
              <w:pStyle w:val="Compact"/>
            </w:pPr>
            <w:r>
              <w:t xml:space="preserve">P/E falls to 30×</w:t>
            </w:r>
          </w:p>
        </w:tc>
        <w:tc>
          <w:tcPr/>
          <w:p>
            <w:pPr>
              <w:pStyle w:val="Compact"/>
            </w:pPr>
            <w:r>
              <w:t xml:space="preserve">P/E falls to 38× (≈ 10-yr median)</w:t>
            </w:r>
          </w:p>
        </w:tc>
        <w:tc>
          <w:tcPr/>
          <w:p>
            <w:pPr>
              <w:pStyle w:val="Compact"/>
            </w:pPr>
            <w:r>
              <w:t xml:space="preserve">P/E stays 44×</w:t>
            </w:r>
          </w:p>
        </w:tc>
      </w:tr>
      <w:tr>
        <w:tc>
          <w:tcPr/>
          <w:p>
            <w:pPr>
              <w:pStyle w:val="Compact"/>
            </w:pPr>
            <w:r>
              <w:t xml:space="preserve">6%</w:t>
            </w:r>
          </w:p>
        </w:tc>
        <w:tc>
          <w:tcPr/>
          <w:p>
            <w:pPr>
              <w:pStyle w:val="Compact"/>
            </w:pPr>
            <w:r>
              <w:t xml:space="preserve">0.1%</w:t>
            </w:r>
          </w:p>
        </w:tc>
        <w:tc>
          <w:tcPr/>
          <w:p>
            <w:pPr>
              <w:pStyle w:val="Compact"/>
            </w:pPr>
            <w:r>
              <w:t xml:space="preserve">1.9%</w:t>
            </w:r>
          </w:p>
        </w:tc>
        <w:tc>
          <w:tcPr/>
          <w:p>
            <w:pPr>
              <w:pStyle w:val="Compact"/>
            </w:pPr>
            <w:r>
              <w:t xml:space="preserve">4.4%</w:t>
            </w:r>
          </w:p>
        </w:tc>
        <w:tc>
          <w:tcPr/>
          <w:p>
            <w:pPr>
              <w:pStyle w:val="Compact"/>
            </w:pPr>
            <w:r>
              <w:t xml:space="preserve">6.0%</w:t>
            </w:r>
          </w:p>
        </w:tc>
      </w:tr>
      <w:tr>
        <w:tc>
          <w:tcPr/>
          <w:p>
            <w:pPr>
              <w:pStyle w:val="Compact"/>
            </w:pPr>
            <w:r>
              <w:t xml:space="preserve">8%</w:t>
            </w:r>
          </w:p>
        </w:tc>
        <w:tc>
          <w:tcPr/>
          <w:p>
            <w:pPr>
              <w:pStyle w:val="Compact"/>
            </w:pPr>
            <w:r>
              <w:t xml:space="preserve">2.0%</w:t>
            </w:r>
          </w:p>
        </w:tc>
        <w:tc>
          <w:tcPr/>
          <w:p>
            <w:pPr>
              <w:pStyle w:val="Compact"/>
            </w:pPr>
            <w:r>
              <w:t xml:space="preserve">3.8%</w:t>
            </w:r>
          </w:p>
        </w:tc>
        <w:tc>
          <w:tcPr/>
          <w:p>
            <w:pPr>
              <w:pStyle w:val="Compact"/>
            </w:pPr>
            <w:r>
              <w:t xml:space="preserve">6.3%</w:t>
            </w:r>
          </w:p>
        </w:tc>
        <w:tc>
          <w:tcPr/>
          <w:p>
            <w:pPr>
              <w:pStyle w:val="Compact"/>
            </w:pPr>
            <w:r>
              <w:t xml:space="preserve">8.0%</w:t>
            </w:r>
          </w:p>
        </w:tc>
      </w:tr>
      <w:tr>
        <w:tc>
          <w:tcPr/>
          <w:p>
            <w:pPr>
              <w:pStyle w:val="Compact"/>
            </w:pPr>
            <w:r>
              <w:t xml:space="preserve">10%</w:t>
            </w:r>
          </w:p>
        </w:tc>
        <w:tc>
          <w:tcPr/>
          <w:p>
            <w:pPr>
              <w:pStyle w:val="Compact"/>
            </w:pPr>
            <w:r>
              <w:t xml:space="preserve">3.9%</w:t>
            </w:r>
          </w:p>
        </w:tc>
        <w:tc>
          <w:tcPr/>
          <w:p>
            <w:pPr>
              <w:pStyle w:val="Compact"/>
            </w:pPr>
            <w:r>
              <w:t xml:space="preserve">5.8%</w:t>
            </w:r>
          </w:p>
        </w:tc>
        <w:tc>
          <w:tcPr/>
          <w:p>
            <w:pPr>
              <w:pStyle w:val="Compact"/>
            </w:pPr>
            <w:r>
              <w:t xml:space="preserve">8.3%</w:t>
            </w:r>
          </w:p>
        </w:tc>
        <w:tc>
          <w:tcPr/>
          <w:p>
            <w:pPr>
              <w:pStyle w:val="Compact"/>
            </w:pPr>
            <w:r>
              <w:t xml:space="preserve">10.0%</w:t>
            </w:r>
          </w:p>
        </w:tc>
      </w:tr>
      <w:tr>
        <w:tc>
          <w:tcPr/>
          <w:p>
            <w:pPr>
              <w:pStyle w:val="Compact"/>
            </w:pPr>
            <w:r>
              <w:t xml:space="preserve">12%</w:t>
            </w:r>
          </w:p>
        </w:tc>
        <w:tc>
          <w:tcPr/>
          <w:p>
            <w:pPr>
              <w:pStyle w:val="Compact"/>
            </w:pPr>
            <w:r>
              <w:t xml:space="preserve">5.7%</w:t>
            </w:r>
          </w:p>
        </w:tc>
        <w:tc>
          <w:tcPr/>
          <w:p>
            <w:pPr>
              <w:pStyle w:val="Compact"/>
            </w:pPr>
            <w:r>
              <w:t xml:space="preserve">7.7%</w:t>
            </w:r>
          </w:p>
        </w:tc>
        <w:tc>
          <w:tcPr/>
          <w:p>
            <w:pPr>
              <w:pStyle w:val="Compact"/>
            </w:pPr>
            <w:r>
              <w:t xml:space="preserve">10.3%</w:t>
            </w:r>
          </w:p>
        </w:tc>
        <w:tc>
          <w:tcPr/>
          <w:p>
            <w:pPr>
              <w:pStyle w:val="Compact"/>
            </w:pPr>
            <w:r>
              <w:t xml:space="preserve">12.0%</w:t>
            </w:r>
          </w:p>
        </w:tc>
      </w:tr>
    </w:tbl>
    <w:p>
      <w:pPr>
        <w:pStyle w:val="BodyText"/>
      </w:pPr>
      <w:r>
        <w:rPr>
          <w:b/>
          <w:bCs/>
        </w:rPr>
        <w:t xml:space="preserve">How to read the table:</w:t>
      </w:r>
    </w:p>
    <w:p>
      <w:pPr>
        <w:pStyle w:val="Compact"/>
        <w:numPr>
          <w:ilvl w:val="0"/>
          <w:numId w:val="1013"/>
        </w:numPr>
      </w:pPr>
      <w:r>
        <w:t xml:space="preserve">Costco’s EPS grew about 14.6% a year over the last decade and 13.0% over the last five years.</w:t>
      </w:r>
    </w:p>
    <w:p>
      <w:pPr>
        <w:pStyle w:val="Compact"/>
        <w:numPr>
          <w:ilvl w:val="0"/>
          <w:numId w:val="1013"/>
        </w:numPr>
      </w:pPr>
      <w:r>
        <w:t xml:space="preserve">Revenue grew about 9–10% a year.</w:t>
      </w:r>
    </w:p>
    <w:p>
      <w:pPr>
        <w:pStyle w:val="Compact"/>
        <w:numPr>
          <w:ilvl w:val="0"/>
          <w:numId w:val="1013"/>
        </w:numPr>
      </w:pPr>
      <w:r>
        <w:t xml:space="preserve">If earnings growth slows toward revenue growth (about 10%) and the P/E drifts to 30×, the yearly</w:t>
      </w:r>
      <w:r>
        <w:t xml:space="preserve"> </w:t>
      </w:r>
      <w:r>
        <w:t xml:space="preserve">price return is about 6%.</w:t>
      </w:r>
    </w:p>
    <w:p>
      <w:pPr>
        <w:pStyle w:val="Compact"/>
        <w:numPr>
          <w:ilvl w:val="0"/>
          <w:numId w:val="1013"/>
        </w:numPr>
      </w:pPr>
      <w:r>
        <w:t xml:space="preserve">Earning 8% a year in price with a 30× P/E at the end requires about</w:t>
      </w:r>
      <w:r>
        <w:t xml:space="preserve"> </w:t>
      </w:r>
      <w:r>
        <w:rPr>
          <w:b/>
          <w:bCs/>
        </w:rPr>
        <w:t xml:space="preserve">12.3% yearly EPS growth</w:t>
      </w:r>
      <w:r>
        <w:t xml:space="preserve"> </w:t>
      </w:r>
      <w:r>
        <w:t xml:space="preserve">for a decade. That is roughly the last five years’ pace, sustained on a base that is now much</w:t>
      </w:r>
      <w:r>
        <w:t xml:space="preserve"> </w:t>
      </w:r>
      <w:r>
        <w:t xml:space="preserve">larger.</w:t>
      </w:r>
    </w:p>
    <w:p>
      <w:pPr>
        <w:pStyle w:val="FirstParagraph"/>
      </w:pPr>
      <w:r>
        <w:t xml:space="preserve">This is arithmetic, not a forecast. It shows how much of the outcome depends on the valuation you</w:t>
      </w:r>
      <w:r>
        <w:t xml:space="preserve"> </w:t>
      </w:r>
      <w:r>
        <w:t xml:space="preserve">start from.</w:t>
      </w:r>
    </w:p>
    <w:bookmarkEnd w:id="14"/>
    <w:bookmarkStart w:id="15" w:name="bull-case-and-bear-case"/>
    <w:p>
      <w:pPr>
        <w:pStyle w:val="Heading1"/>
      </w:pPr>
      <w:r>
        <w:t xml:space="preserve">Bull case and bear case</w:t>
      </w:r>
    </w:p>
    <w:p>
      <w:pPr>
        <w:pStyle w:val="FirstParagraph"/>
      </w:pPr>
      <w:r>
        <w:rPr>
          <w:b/>
          <w:bCs/>
        </w:rPr>
        <w:t xml:space="preserve">Bull case</w:t>
      </w:r>
    </w:p>
    <w:p>
      <w:pPr>
        <w:pStyle w:val="Compact"/>
        <w:numPr>
          <w:ilvl w:val="0"/>
          <w:numId w:val="1014"/>
        </w:numPr>
      </w:pPr>
      <w:r>
        <w:rPr>
          <w:b/>
          <w:bCs/>
        </w:rPr>
        <w:t xml:space="preserve">Loyalty is the moat, and it is measurable.</w:t>
      </w:r>
      <w:r>
        <w:t xml:space="preserve"> </w:t>
      </w:r>
      <w:r>
        <w:t xml:space="preserve">A 92.3% renewal rate, a rising Executive share</w:t>
      </w:r>
      <w:r>
        <w:t xml:space="preserve"> </w:t>
      </w:r>
      <w:r>
        <w:t xml:space="preserve">and fee increases every few years (most recently taking the U.S. basic fee to $65) create</w:t>
      </w:r>
      <w:r>
        <w:t xml:space="preserve"> </w:t>
      </w:r>
      <w:r>
        <w:t xml:space="preserve">high-margin recurring income that grows with the member base.</w:t>
      </w:r>
    </w:p>
    <w:p>
      <w:pPr>
        <w:pStyle w:val="Compact"/>
        <w:numPr>
          <w:ilvl w:val="0"/>
          <w:numId w:val="1014"/>
        </w:numPr>
      </w:pPr>
      <w:r>
        <w:rPr>
          <w:b/>
          <w:bCs/>
        </w:rPr>
        <w:t xml:space="preserve">Long runway abroad.</w:t>
      </w:r>
      <w:r>
        <w:t xml:space="preserve"> </w:t>
      </w:r>
      <w:r>
        <w:t xml:space="preserve">Only about 177 of 939 warehouses are outside the U.S. and Canada, and</w:t>
      </w:r>
      <w:r>
        <w:t xml:space="preserve"> </w:t>
      </w:r>
      <w:r>
        <w:t xml:space="preserve">international comparable sales have been solid.</w:t>
      </w:r>
    </w:p>
    <w:p>
      <w:pPr>
        <w:pStyle w:val="Compact"/>
        <w:numPr>
          <w:ilvl w:val="0"/>
          <w:numId w:val="1014"/>
        </w:numPr>
      </w:pPr>
      <w:r>
        <w:rPr>
          <w:b/>
          <w:bCs/>
        </w:rPr>
        <w:t xml:space="preserve">Digital growth without giving up the model.</w:t>
      </w:r>
      <w:r>
        <w:t xml:space="preserve"> </w:t>
      </w:r>
      <w:r>
        <w:t xml:space="preserve">Digitally-enabled comparable sales rose 20.9%</w:t>
      </w:r>
      <w:r>
        <w:t xml:space="preserve"> </w:t>
      </w:r>
      <w:r>
        <w:t xml:space="preserve">in FY2026, while overall comparable sales rose 8.4% (6.6% adjusted for gas and currency).</w:t>
      </w:r>
    </w:p>
    <w:p>
      <w:pPr>
        <w:pStyle w:val="Compact"/>
        <w:numPr>
          <w:ilvl w:val="0"/>
          <w:numId w:val="1014"/>
        </w:numPr>
      </w:pPr>
      <w:r>
        <w:rPr>
          <w:b/>
          <w:bCs/>
        </w:rPr>
        <w:t xml:space="preserve">A balance sheet that funds everything internally,</w:t>
      </w:r>
      <w:r>
        <w:t xml:space="preserve"> </w:t>
      </w:r>
      <w:r>
        <w:t xml:space="preserve">with room for further special dividends.</w:t>
      </w:r>
    </w:p>
    <w:p>
      <w:pPr>
        <w:pStyle w:val="Compact"/>
        <w:numPr>
          <w:ilvl w:val="0"/>
          <w:numId w:val="1014"/>
        </w:numPr>
      </w:pPr>
      <w:r>
        <w:rPr>
          <w:b/>
          <w:bCs/>
        </w:rPr>
        <w:t xml:space="preserve">Consistency.</w:t>
      </w:r>
      <w:r>
        <w:t xml:space="preserve"> </w:t>
      </w:r>
      <w:r>
        <w:t xml:space="preserve">Ten years with only one small earnings decline, through a pandemic and an</w:t>
      </w:r>
      <w:r>
        <w:t xml:space="preserve"> </w:t>
      </w:r>
      <w:r>
        <w:t xml:space="preserve">inflation spike.</w:t>
      </w:r>
    </w:p>
    <w:p>
      <w:pPr>
        <w:pStyle w:val="FirstParagraph"/>
      </w:pPr>
      <w:r>
        <w:rPr>
          <w:b/>
          <w:bCs/>
        </w:rPr>
        <w:t xml:space="preserve">Bear case</w:t>
      </w:r>
    </w:p>
    <w:p>
      <w:pPr>
        <w:pStyle w:val="Compact"/>
        <w:numPr>
          <w:ilvl w:val="0"/>
          <w:numId w:val="1015"/>
        </w:numPr>
      </w:pPr>
      <w:r>
        <w:rPr>
          <w:b/>
          <w:bCs/>
        </w:rPr>
        <w:t xml:space="preserve">Valuation.</w:t>
      </w:r>
      <w:r>
        <w:t xml:space="preserve"> </w:t>
      </w:r>
      <w:r>
        <w:t xml:space="preserve">At ~44× earnings, a great business can still be a mediocre investment if the</w:t>
      </w:r>
      <w:r>
        <w:t xml:space="preserve"> </w:t>
      </w:r>
      <w:r>
        <w:t xml:space="preserve">P/E normalizes (see the table). Several analysts cut price targets after the Q4 report</w:t>
      </w:r>
      <w:r>
        <w:t xml:space="preserve"> </w:t>
      </w:r>
      <w:r>
        <w:t xml:space="preserve">(search, unverified).</w:t>
      </w:r>
    </w:p>
    <w:p>
      <w:pPr>
        <w:pStyle w:val="Compact"/>
        <w:numPr>
          <w:ilvl w:val="0"/>
          <w:numId w:val="1015"/>
        </w:numPr>
      </w:pPr>
      <w:r>
        <w:rPr>
          <w:b/>
          <w:bCs/>
        </w:rPr>
        <w:t xml:space="preserve">Member growth may be slowing</w:t>
      </w:r>
      <w:r>
        <w:t xml:space="preserve"> </w:t>
      </w:r>
      <w:r>
        <w:t xml:space="preserve">(+3.8% reported by search vs +6.3% in FY2025). Much of recent</w:t>
      </w:r>
      <w:r>
        <w:t xml:space="preserve"> </w:t>
      </w:r>
      <w:r>
        <w:t xml:space="preserve">expansion is</w:t>
      </w:r>
      <w:r>
        <w:t xml:space="preserve"> </w:t>
      </w:r>
      <w:r>
        <w:t xml:space="preserve">“infill”</w:t>
      </w:r>
      <w:r>
        <w:t xml:space="preserve"> </w:t>
      </w:r>
      <w:r>
        <w:t xml:space="preserve">in existing markets, and the 10-K warns this can draw members from</w:t>
      </w:r>
      <w:r>
        <w:t xml:space="preserve"> </w:t>
      </w:r>
      <w:r>
        <w:t xml:space="preserve">existing warehouses.</w:t>
      </w:r>
    </w:p>
    <w:p>
      <w:pPr>
        <w:pStyle w:val="Compact"/>
        <w:numPr>
          <w:ilvl w:val="0"/>
          <w:numId w:val="1015"/>
        </w:numPr>
      </w:pPr>
      <w:r>
        <w:rPr>
          <w:b/>
          <w:bCs/>
        </w:rPr>
        <w:t xml:space="preserve">Concentration.</w:t>
      </w:r>
      <w:r>
        <w:t xml:space="preserve"> </w:t>
      </w:r>
      <w:r>
        <w:t xml:space="preserve">86% of sales come from the U.S. and Canada, and 26% of U.S. sales from</w:t>
      </w:r>
      <w:r>
        <w:t xml:space="preserve"> </w:t>
      </w:r>
      <w:r>
        <w:t xml:space="preserve">California. A regional slowdown matters.</w:t>
      </w:r>
    </w:p>
    <w:p>
      <w:pPr>
        <w:pStyle w:val="Compact"/>
        <w:numPr>
          <w:ilvl w:val="0"/>
          <w:numId w:val="1015"/>
        </w:numPr>
      </w:pPr>
      <w:r>
        <w:rPr>
          <w:b/>
          <w:bCs/>
        </w:rPr>
        <w:t xml:space="preserve">Thin margins leave little room for error.</w:t>
      </w:r>
      <w:r>
        <w:t xml:space="preserve"> </w:t>
      </w:r>
      <w:r>
        <w:t xml:space="preserve">A 3.9% operating margin means small cost increases</w:t>
      </w:r>
      <w:r>
        <w:t xml:space="preserve"> </w:t>
      </w:r>
      <w:r>
        <w:t xml:space="preserve">(wages, health care, tariffs, energy) can move profits noticeably. Costco usually chooses to</w:t>
      </w:r>
      <w:r>
        <w:t xml:space="preserve"> </w:t>
      </w:r>
      <w:r>
        <w:t xml:space="preserve">protect prices rather than margins.</w:t>
      </w:r>
    </w:p>
    <w:p>
      <w:pPr>
        <w:pStyle w:val="Compact"/>
        <w:numPr>
          <w:ilvl w:val="0"/>
          <w:numId w:val="1015"/>
        </w:numPr>
      </w:pPr>
      <w:r>
        <w:rPr>
          <w:b/>
          <w:bCs/>
        </w:rPr>
        <w:t xml:space="preserve">Fee-increase tailwind fading.</w:t>
      </w:r>
      <w:r>
        <w:t xml:space="preserve"> </w:t>
      </w:r>
      <w:r>
        <w:t xml:space="preserve">Part of recent membership-fee growth came from the fee</w:t>
      </w:r>
      <w:r>
        <w:t xml:space="preserve"> </w:t>
      </w:r>
      <w:r>
        <w:t xml:space="preserve">increase. Once that has passed through, fee growth depends on adding members.</w:t>
      </w:r>
    </w:p>
    <w:bookmarkEnd w:id="15"/>
    <w:bookmarkStart w:id="16" w:name="risk-review"/>
    <w:p>
      <w:pPr>
        <w:pStyle w:val="Heading1"/>
      </w:pPr>
      <w:r>
        <w:t xml:space="preserve">Risk review</w:t>
      </w:r>
    </w:p>
    <w:p>
      <w:pPr>
        <w:pStyle w:val="FirstParagraph"/>
      </w:pPr>
      <w:r>
        <w:rPr>
          <w:b/>
          <w:bCs/>
        </w:rPr>
        <w:t xml:space="preserve">Business and thesis risks</w:t>
      </w:r>
      <w:r>
        <w:t xml:space="preserve"> </w:t>
      </w:r>
      <w:r>
        <w:t xml:space="preserve">(Costco’s own 10-K, company-specific items only):</w:t>
      </w:r>
    </w:p>
    <w:p>
      <w:pPr>
        <w:pStyle w:val="Compact"/>
        <w:numPr>
          <w:ilvl w:val="0"/>
          <w:numId w:val="1016"/>
        </w:numPr>
      </w:pPr>
      <w:r>
        <w:rPr>
          <w:b/>
          <w:bCs/>
        </w:rPr>
        <w:t xml:space="preserve">Dependence on the U.S. and Canada, especially California:</w:t>
      </w:r>
      <w:r>
        <w:t xml:space="preserve"> </w:t>
      </w:r>
      <w:r>
        <w:t xml:space="preserve">declining comparable sales, rising</w:t>
      </w:r>
      <w:r>
        <w:t xml:space="preserve"> </w:t>
      </w:r>
      <w:r>
        <w:t xml:space="preserve">labor, health-care and energy costs, or cannibalization by new warehouses.</w:t>
      </w:r>
    </w:p>
    <w:p>
      <w:pPr>
        <w:pStyle w:val="Compact"/>
        <w:numPr>
          <w:ilvl w:val="0"/>
          <w:numId w:val="1016"/>
        </w:numPr>
      </w:pPr>
      <w:r>
        <w:rPr>
          <w:b/>
          <w:bCs/>
        </w:rPr>
        <w:t xml:space="preserve">Membership loyalty and brand:</w:t>
      </w:r>
      <w:r>
        <w:t xml:space="preserve"> </w:t>
      </w:r>
      <w:r>
        <w:t xml:space="preserve">anything that damages trust, Kirkland Signature quality in</w:t>
      </w:r>
      <w:r>
        <w:t xml:space="preserve"> </w:t>
      </w:r>
      <w:r>
        <w:t xml:space="preserve">particular, would hit renewals and fee income.</w:t>
      </w:r>
    </w:p>
    <w:p>
      <w:pPr>
        <w:pStyle w:val="Compact"/>
        <w:numPr>
          <w:ilvl w:val="0"/>
          <w:numId w:val="1016"/>
        </w:numPr>
      </w:pPr>
      <w:r>
        <w:rPr>
          <w:b/>
          <w:bCs/>
        </w:rPr>
        <w:t xml:space="preserve">Growth execution:</w:t>
      </w:r>
      <w:r>
        <w:t xml:space="preserve"> </w:t>
      </w:r>
      <w:r>
        <w:t xml:space="preserve">new warehouses in existing markets can take sales from nearby ones.</w:t>
      </w:r>
    </w:p>
    <w:p>
      <w:pPr>
        <w:pStyle w:val="Compact"/>
        <w:numPr>
          <w:ilvl w:val="0"/>
          <w:numId w:val="1016"/>
        </w:numPr>
      </w:pPr>
      <w:r>
        <w:rPr>
          <w:b/>
          <w:bCs/>
        </w:rPr>
        <w:t xml:space="preserve">Competition:</w:t>
      </w:r>
      <w:r>
        <w:t xml:space="preserve"> </w:t>
      </w:r>
      <w:r>
        <w:t xml:space="preserve">larger rivals with greater technology resources, including faster AI adoption,</w:t>
      </w:r>
      <w:r>
        <w:t xml:space="preserve"> </w:t>
      </w:r>
      <w:r>
        <w:t xml:space="preserve">and easy online price comparison.</w:t>
      </w:r>
    </w:p>
    <w:p>
      <w:pPr>
        <w:pStyle w:val="Compact"/>
        <w:numPr>
          <w:ilvl w:val="0"/>
          <w:numId w:val="1016"/>
        </w:numPr>
      </w:pPr>
      <w:r>
        <w:rPr>
          <w:b/>
          <w:bCs/>
        </w:rPr>
        <w:t xml:space="preserve">Tariffs and commodity costs:</w:t>
      </w:r>
      <w:r>
        <w:t xml:space="preserve"> </w:t>
      </w:r>
      <w:r>
        <w:t xml:space="preserve">the 10-K notes higher tariffs</w:t>
      </w:r>
      <w:r>
        <w:t xml:space="preserve"> </w:t>
      </w:r>
      <w:r>
        <w:t xml:space="preserve">“could adversely impact our</w:t>
      </w:r>
      <w:r>
        <w:t xml:space="preserve"> </w:t>
      </w:r>
      <w:r>
        <w:t xml:space="preserve">results”</w:t>
      </w:r>
      <w:r>
        <w:t xml:space="preserve">. In FY2026 tariff</w:t>
      </w:r>
      <w:r>
        <w:t xml:space="preserve"> </w:t>
      </w:r>
      <w:r>
        <w:rPr>
          <w:i/>
          <w:iCs/>
        </w:rPr>
        <w:t xml:space="preserve">refunds</w:t>
      </w:r>
      <w:r>
        <w:t xml:space="preserve"> </w:t>
      </w:r>
      <w:r>
        <w:t xml:space="preserve">helped Q4 by $0.15/share, a one-time benefit.</w:t>
      </w:r>
    </w:p>
    <w:p>
      <w:pPr>
        <w:pStyle w:val="FirstParagraph"/>
      </w:pPr>
      <w:r>
        <w:rPr>
          <w:b/>
          <w:bCs/>
        </w:rPr>
        <w:t xml:space="preserve">Valuation risk:</w:t>
      </w:r>
      <w:r>
        <w:t xml:space="preserve"> </w:t>
      </w:r>
      <w:r>
        <w:t xml:space="preserve">the largest risk for a new buyer. The same business bought at 44× versus 30×</w:t>
      </w:r>
      <w:r>
        <w:t xml:space="preserve"> </w:t>
      </w:r>
      <w:r>
        <w:t xml:space="preserve">leads to very different 10-year results (section 6).</w:t>
      </w:r>
    </w:p>
    <w:p>
      <w:pPr>
        <w:pStyle w:val="BodyText"/>
      </w:pPr>
      <w:r>
        <w:rPr>
          <w:b/>
          <w:bCs/>
        </w:rPr>
        <w:t xml:space="preserve">Balance sheet, dilution and capital allocation:</w:t>
      </w:r>
      <w:r>
        <w:t xml:space="preserve"> </w:t>
      </w:r>
      <w:r>
        <w:t xml:space="preserve">low risk.</w:t>
      </w:r>
    </w:p>
    <w:p>
      <w:pPr>
        <w:pStyle w:val="Compact"/>
        <w:numPr>
          <w:ilvl w:val="0"/>
          <w:numId w:val="1017"/>
        </w:numPr>
      </w:pPr>
      <w:r>
        <w:t xml:space="preserve">It holds net cash of $15.1B.</w:t>
      </w:r>
    </w:p>
    <w:p>
      <w:pPr>
        <w:pStyle w:val="Compact"/>
        <w:numPr>
          <w:ilvl w:val="0"/>
          <w:numId w:val="1017"/>
        </w:numPr>
      </w:pPr>
      <w:r>
        <w:t xml:space="preserve">Total debt is $6.2B (up slightly from $5.8B), with $2.25B due within a year and easily covered by</w:t>
      </w:r>
      <w:r>
        <w:t xml:space="preserve"> </w:t>
      </w:r>
      <w:r>
        <w:t xml:space="preserve">cash.</w:t>
      </w:r>
    </w:p>
    <w:p>
      <w:pPr>
        <w:pStyle w:val="Compact"/>
        <w:numPr>
          <w:ilvl w:val="0"/>
          <w:numId w:val="1017"/>
        </w:numPr>
      </w:pPr>
      <w:r>
        <w:t xml:space="preserve">The share count has been flat for a decade.</w:t>
      </w:r>
    </w:p>
    <w:p>
      <w:pPr>
        <w:pStyle w:val="Compact"/>
        <w:numPr>
          <w:ilvl w:val="0"/>
          <w:numId w:val="1017"/>
        </w:numPr>
      </w:pPr>
      <w:r>
        <w:t xml:space="preserve">Regular dividends use about 26% of free cash flow.</w:t>
      </w:r>
    </w:p>
    <w:p>
      <w:pPr>
        <w:pStyle w:val="FirstParagraph"/>
      </w:pPr>
      <w:r>
        <w:rPr>
          <w:b/>
          <w:bCs/>
        </w:rPr>
        <w:t xml:space="preserve">Insider activity:</w:t>
      </w:r>
    </w:p>
    <w:p>
      <w:pPr>
        <w:pStyle w:val="Compact"/>
        <w:numPr>
          <w:ilvl w:val="0"/>
          <w:numId w:val="1018"/>
        </w:numPr>
      </w:pPr>
      <w:r>
        <w:t xml:space="preserve">No open-market insider purchases in the last 30 filings.</w:t>
      </w:r>
    </w:p>
    <w:p>
      <w:pPr>
        <w:pStyle w:val="Compact"/>
        <w:numPr>
          <w:ilvl w:val="0"/>
          <w:numId w:val="1018"/>
        </w:numPr>
      </w:pPr>
      <w:r>
        <w:t xml:space="preserve">About $12M of open-market sales at $860–$1,003. That is small relative to executives’ holdings,</w:t>
      </w:r>
      <w:r>
        <w:t xml:space="preserve"> </w:t>
      </w:r>
      <w:r>
        <w:t xml:space="preserve">and it is common at large, highly valued companies.</w:t>
      </w:r>
    </w:p>
    <w:p>
      <w:pPr>
        <w:pStyle w:val="Compact"/>
        <w:numPr>
          <w:ilvl w:val="0"/>
          <w:numId w:val="1018"/>
        </w:numPr>
      </w:pPr>
      <w:r>
        <w:t xml:space="preserve">Most other activity is routine: annual stock awards (September), shares withheld for tax, and</w:t>
      </w:r>
      <w:r>
        <w:t xml:space="preserve"> </w:t>
      </w:r>
      <w:r>
        <w:t xml:space="preserve">gifts.</w:t>
      </w:r>
    </w:p>
    <w:p>
      <w:pPr>
        <w:pStyle w:val="Compact"/>
        <w:numPr>
          <w:ilvl w:val="0"/>
          <w:numId w:val="1018"/>
        </w:numPr>
      </w:pPr>
      <w:r>
        <w:t xml:space="preserve">None of the sales were flagged as pre-scheduled 10b5-1 plans.</w:t>
      </w:r>
    </w:p>
    <w:p>
      <w:pPr>
        <w:pStyle w:val="Compact"/>
        <w:numPr>
          <w:ilvl w:val="0"/>
          <w:numId w:val="1018"/>
        </w:numPr>
      </w:pPr>
      <w:r>
        <w:t xml:space="preserve">I read this as neutral: no signal of insider conviction either way.</w:t>
      </w:r>
    </w:p>
    <w:p>
      <w:pPr>
        <w:pStyle w:val="FirstParagraph"/>
      </w:pPr>
      <w:r>
        <w:rPr>
          <w:b/>
          <w:bCs/>
        </w:rPr>
        <w:t xml:space="preserve">Concentration and behavior (general, not personalized):</w:t>
      </w:r>
    </w:p>
    <w:p>
      <w:pPr>
        <w:pStyle w:val="Compact"/>
        <w:numPr>
          <w:ilvl w:val="0"/>
          <w:numId w:val="1019"/>
        </w:numPr>
      </w:pPr>
      <w:r>
        <w:t xml:space="preserve">A single stock of any quality carries company-specific risk that diversification removes.</w:t>
      </w:r>
    </w:p>
    <w:p>
      <w:pPr>
        <w:pStyle w:val="Compact"/>
        <w:numPr>
          <w:ilvl w:val="0"/>
          <w:numId w:val="1019"/>
        </w:numPr>
      </w:pPr>
      <w:r>
        <w:t xml:space="preserve">High-P/E stocks can fall sharply on small disappointments, even when the business is fine.</w:t>
      </w:r>
      <w:r>
        <w:t xml:space="preserve"> </w:t>
      </w:r>
      <w:r>
        <w:t xml:space="preserve">Investors who buy</w:t>
      </w:r>
      <w:r>
        <w:t xml:space="preserve"> </w:t>
      </w:r>
      <w:r>
        <w:t xml:space="preserve">“quality at any price”</w:t>
      </w:r>
      <w:r>
        <w:t xml:space="preserve"> </w:t>
      </w:r>
      <w:r>
        <w:t xml:space="preserve">are often tested by a 30–40% drawdown with no change</w:t>
      </w:r>
      <w:r>
        <w:t xml:space="preserve"> </w:t>
      </w:r>
      <w:r>
        <w:t xml:space="preserve">in the business.</w:t>
      </w:r>
    </w:p>
    <w:p>
      <w:pPr>
        <w:pStyle w:val="Compact"/>
        <w:numPr>
          <w:ilvl w:val="0"/>
          <w:numId w:val="1019"/>
        </w:numPr>
      </w:pPr>
      <w:r>
        <w:t xml:space="preserve">No portfolio snapshot was provided, so no portfolio-specific exposure is assessed.</w:t>
      </w:r>
    </w:p>
    <w:bookmarkEnd w:id="16"/>
    <w:bookmarkStart w:id="17" w:name="what-to-watch-in-future-filings"/>
    <w:p>
      <w:pPr>
        <w:pStyle w:val="Heading1"/>
      </w:pPr>
      <w:r>
        <w:t xml:space="preserve">What to watch in future filings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Metric</w:t>
            </w:r>
          </w:p>
        </w:tc>
        <w:tc>
          <w:tcPr/>
          <w:p>
            <w:pPr>
              <w:pStyle w:val="Compact"/>
            </w:pPr>
            <w:r>
              <w:t xml:space="preserve">Latest value (period)</w:t>
            </w:r>
          </w:p>
        </w:tc>
        <w:tc>
          <w:tcPr/>
          <w:p>
            <w:pPr>
              <w:pStyle w:val="Compact"/>
            </w:pPr>
            <w:r>
              <w:t xml:space="preserve">Why it matters</w:t>
            </w:r>
          </w:p>
        </w:tc>
        <w:tc>
          <w:tcPr/>
          <w:p>
            <w:pPr>
              <w:pStyle w:val="Compact"/>
            </w:pPr>
            <w:r>
              <w:t xml:space="preserve">Worth a closer look if…</w:t>
            </w:r>
          </w:p>
        </w:tc>
      </w:tr>
      <w:tr>
        <w:tc>
          <w:tcPr/>
          <w:p>
            <w:pPr>
              <w:pStyle w:val="Compact"/>
            </w:pPr>
            <w:r>
              <w:t xml:space="preserve">U.S./Canada renewal rate</w:t>
            </w:r>
          </w:p>
        </w:tc>
        <w:tc>
          <w:tcPr/>
          <w:p>
            <w:pPr>
              <w:pStyle w:val="Compact"/>
            </w:pPr>
            <w:r>
              <w:t xml:space="preserve">92.3% (FY2025 10-K)</w:t>
            </w:r>
          </w:p>
        </w:tc>
        <w:tc>
          <w:tcPr/>
          <w:p>
            <w:pPr>
              <w:pStyle w:val="Compact"/>
            </w:pPr>
            <w:r>
              <w:t xml:space="preserve">Core of the moat</w:t>
            </w:r>
          </w:p>
        </w:tc>
        <w:tc>
          <w:tcPr/>
          <w:p>
            <w:pPr>
              <w:pStyle w:val="Compact"/>
            </w:pPr>
            <w:r>
              <w:t xml:space="preserve">Falls below ~90%</w:t>
            </w:r>
          </w:p>
        </w:tc>
      </w:tr>
      <w:tr>
        <w:tc>
          <w:tcPr/>
          <w:p>
            <w:pPr>
              <w:pStyle w:val="Compact"/>
            </w:pPr>
            <w:r>
              <w:t xml:space="preserve">Paid members, growth</w:t>
            </w:r>
          </w:p>
        </w:tc>
        <w:tc>
          <w:tcPr/>
          <w:p>
            <w:pPr>
              <w:pStyle w:val="Compact"/>
            </w:pPr>
            <w:r>
              <w:t xml:space="preserve">81.0M, +6.3% (FY2025); ~84.1M, +3.8% (FY2026, search)</w:t>
            </w:r>
          </w:p>
        </w:tc>
        <w:tc>
          <w:tcPr/>
          <w:p>
            <w:pPr>
              <w:pStyle w:val="Compact"/>
            </w:pPr>
            <w:r>
              <w:t xml:space="preserve">Drives fee income</w:t>
            </w:r>
          </w:p>
        </w:tc>
        <w:tc>
          <w:tcPr/>
          <w:p>
            <w:pPr>
              <w:pStyle w:val="Compact"/>
            </w:pPr>
            <w:r>
              <w:t xml:space="preserve">Growth stays below ~3%</w:t>
            </w:r>
          </w:p>
        </w:tc>
      </w:tr>
      <w:tr>
        <w:tc>
          <w:tcPr/>
          <w:p>
            <w:pPr>
              <w:pStyle w:val="Compact"/>
            </w:pPr>
            <w:r>
              <w:t xml:space="preserve">Membership fee revenue</w:t>
            </w:r>
          </w:p>
        </w:tc>
        <w:tc>
          <w:tcPr/>
          <w:p>
            <w:pPr>
              <w:pStyle w:val="Compact"/>
            </w:pPr>
            <w:r>
              <w:t xml:space="preserve">$5.91B, +11.0% (FY2026)</w:t>
            </w:r>
          </w:p>
        </w:tc>
        <w:tc>
          <w:tcPr/>
          <w:p>
            <w:pPr>
              <w:pStyle w:val="Compact"/>
            </w:pPr>
            <w:r>
              <w:t xml:space="preserve">About half of operating profit</w:t>
            </w:r>
          </w:p>
        </w:tc>
        <w:tc>
          <w:tcPr/>
          <w:p>
            <w:pPr>
              <w:pStyle w:val="Compact"/>
            </w:pPr>
            <w:r>
              <w:t xml:space="preserve">Growth slows to low single digits after the fee increase passes through</w:t>
            </w:r>
          </w:p>
        </w:tc>
      </w:tr>
      <w:tr>
        <w:tc>
          <w:tcPr/>
          <w:p>
            <w:pPr>
              <w:pStyle w:val="Compact"/>
            </w:pPr>
            <w:r>
              <w:t xml:space="preserve">Adjusted comparable sales</w:t>
            </w:r>
          </w:p>
        </w:tc>
        <w:tc>
          <w:tcPr/>
          <w:p>
            <w:pPr>
              <w:pStyle w:val="Compact"/>
            </w:pPr>
            <w:r>
              <w:t xml:space="preserve">+6.6% (FY2026)</w:t>
            </w:r>
          </w:p>
        </w:tc>
        <w:tc>
          <w:tcPr/>
          <w:p>
            <w:pPr>
              <w:pStyle w:val="Compact"/>
            </w:pPr>
            <w:r>
              <w:t xml:space="preserve">Traffic and ticket in existing warehouses</w:t>
            </w:r>
          </w:p>
        </w:tc>
        <w:tc>
          <w:tcPr/>
          <w:p>
            <w:pPr>
              <w:pStyle w:val="Compact"/>
            </w:pPr>
            <w:r>
              <w:t xml:space="preserve">Turns negative, or sits below inflation</w:t>
            </w:r>
          </w:p>
        </w:tc>
      </w:tr>
      <w:tr>
        <w:tc>
          <w:tcPr/>
          <w:p>
            <w:pPr>
              <w:pStyle w:val="Compact"/>
            </w:pPr>
            <w:r>
              <w:t xml:space="preserve">Operating margin</w:t>
            </w:r>
          </w:p>
        </w:tc>
        <w:tc>
          <w:tcPr/>
          <w:p>
            <w:pPr>
              <w:pStyle w:val="Compact"/>
            </w:pPr>
            <w:r>
              <w:t xml:space="preserve">3.85% (FY2026)</w:t>
            </w:r>
          </w:p>
        </w:tc>
        <w:tc>
          <w:tcPr/>
          <w:p>
            <w:pPr>
              <w:pStyle w:val="Compact"/>
            </w:pPr>
            <w:r>
              <w:t xml:space="preserve">Cost control</w:t>
            </w:r>
          </w:p>
        </w:tc>
        <w:tc>
          <w:tcPr/>
          <w:p>
            <w:pPr>
              <w:pStyle w:val="Compact"/>
            </w:pPr>
            <w:r>
              <w:t xml:space="preserve">Sustained decline below ~3.5%</w:t>
            </w:r>
          </w:p>
        </w:tc>
      </w:tr>
      <w:tr>
        <w:tc>
          <w:tcPr/>
          <w:p>
            <w:pPr>
              <w:pStyle w:val="Compact"/>
            </w:pPr>
            <w:r>
              <w:t xml:space="preserve">Free cash flow vs net income</w:t>
            </w:r>
          </w:p>
        </w:tc>
        <w:tc>
          <w:tcPr/>
          <w:p>
            <w:pPr>
              <w:pStyle w:val="Compact"/>
            </w:pPr>
            <w:r>
              <w:t xml:space="preserve">102% (FY2026)</w:t>
            </w:r>
          </w:p>
        </w:tc>
        <w:tc>
          <w:tcPr/>
          <w:p>
            <w:pPr>
              <w:pStyle w:val="Compact"/>
            </w:pPr>
            <w:r>
              <w:t xml:space="preserve">Earnings quality</w:t>
            </w:r>
          </w:p>
        </w:tc>
        <w:tc>
          <w:tcPr/>
          <w:p>
            <w:pPr>
              <w:pStyle w:val="Compact"/>
            </w:pPr>
            <w:r>
              <w:t xml:space="preserve">Well below net income for 2+ years without higher capital spending explaining it</w:t>
            </w:r>
          </w:p>
        </w:tc>
      </w:tr>
      <w:tr>
        <w:tc>
          <w:tcPr/>
          <w:p>
            <w:pPr>
              <w:pStyle w:val="Compact"/>
            </w:pPr>
            <w:r>
              <w:t xml:space="preserve">Net cash</w:t>
            </w:r>
          </w:p>
        </w:tc>
        <w:tc>
          <w:tcPr/>
          <w:p>
            <w:pPr>
              <w:pStyle w:val="Compact"/>
            </w:pPr>
            <w:r>
              <w:t xml:space="preserve">$15.1B (FY2026)</w:t>
            </w:r>
          </w:p>
        </w:tc>
        <w:tc>
          <w:tcPr/>
          <w:p>
            <w:pPr>
              <w:pStyle w:val="Compact"/>
            </w:pPr>
            <w:r>
              <w:t xml:space="preserve">Flexibility and specials</w:t>
            </w:r>
          </w:p>
        </w:tc>
        <w:tc>
          <w:tcPr/>
          <w:p>
            <w:pPr>
              <w:pStyle w:val="Compact"/>
            </w:pPr>
            <w:r>
              <w:t xml:space="preserve">Turns to net debt</w:t>
            </w:r>
          </w:p>
        </w:tc>
      </w:tr>
      <w:tr>
        <w:tc>
          <w:tcPr/>
          <w:p>
            <w:pPr>
              <w:pStyle w:val="Compact"/>
            </w:pPr>
            <w:r>
              <w:t xml:space="preserve">Diluted shares</w:t>
            </w:r>
          </w:p>
        </w:tc>
        <w:tc>
          <w:tcPr/>
          <w:p>
            <w:pPr>
              <w:pStyle w:val="Compact"/>
            </w:pPr>
            <w:r>
              <w:t xml:space="preserve">444.4M (FY2026)</w:t>
            </w:r>
          </w:p>
        </w:tc>
        <w:tc>
          <w:tcPr/>
          <w:p>
            <w:pPr>
              <w:pStyle w:val="Compact"/>
            </w:pPr>
            <w:r>
              <w:t xml:space="preserve">Dilution</w:t>
            </w:r>
          </w:p>
        </w:tc>
        <w:tc>
          <w:tcPr/>
          <w:p>
            <w:pPr>
              <w:pStyle w:val="Compact"/>
            </w:pPr>
            <w:r>
              <w:t xml:space="preserve">Rises meaningfully</w:t>
            </w:r>
          </w:p>
        </w:tc>
      </w:tr>
      <w:tr>
        <w:tc>
          <w:tcPr/>
          <w:p>
            <w:pPr>
              <w:pStyle w:val="Compact"/>
            </w:pPr>
            <w:r>
              <w:t xml:space="preserve">Net new warehouses</w:t>
            </w:r>
          </w:p>
        </w:tc>
        <w:tc>
          <w:tcPr/>
          <w:p>
            <w:pPr>
              <w:pStyle w:val="Compact"/>
            </w:pPr>
            <w:r>
              <w:t xml:space="preserve">24 (FY2025)</w:t>
            </w:r>
          </w:p>
        </w:tc>
        <w:tc>
          <w:tcPr/>
          <w:p>
            <w:pPr>
              <w:pStyle w:val="Compact"/>
            </w:pPr>
            <w:r>
              <w:t xml:space="preserve">Growth engine</w:t>
            </w:r>
          </w:p>
        </w:tc>
        <w:tc>
          <w:tcPr/>
          <w:p>
            <w:pPr>
              <w:pStyle w:val="Compact"/>
            </w:pPr>
            <w:r>
              <w:t xml:space="preserve">Well below ~20/yr, or cannibalization shows in comparable sales</w:t>
            </w:r>
          </w:p>
        </w:tc>
      </w:tr>
      <w:tr>
        <w:tc>
          <w:tcPr/>
          <w:p>
            <w:pPr>
              <w:pStyle w:val="Compact"/>
            </w:pPr>
            <w:r>
              <w:t xml:space="preserve">Trailing P/E (price data)</w:t>
            </w:r>
          </w:p>
        </w:tc>
        <w:tc>
          <w:tcPr/>
          <w:p>
            <w:pPr>
              <w:pStyle w:val="Compact"/>
            </w:pPr>
            <w:r>
              <w:t xml:space="preserve">~44× (Sept 2026)</w:t>
            </w:r>
          </w:p>
        </w:tc>
        <w:tc>
          <w:tcPr/>
          <w:p>
            <w:pPr>
              <w:pStyle w:val="Compact"/>
            </w:pPr>
            <w:r>
              <w:t xml:space="preserve">Starting valuation</w:t>
            </w:r>
          </w:p>
        </w:tc>
        <w:tc>
          <w:tcPr/>
          <w:p>
            <w:pPr>
              <w:pStyle w:val="Compact"/>
            </w:pPr>
            <w:r>
              <w:t xml:space="preserve">Context for any decision; compare with growth</w:t>
            </w:r>
          </w:p>
        </w:tc>
      </w:tr>
    </w:tbl>
    <w:bookmarkEnd w:id="17"/>
    <w:bookmarkStart w:id="18" w:name="X7fd267f9cd1478eed67035b7fd8d4907bd6f4dc"/>
    <w:p>
      <w:pPr>
        <w:pStyle w:val="Heading1"/>
      </w:pPr>
      <w:r>
        <w:t xml:space="preserve">Review of the Gemini educational scenario (Appendices C and D)</w:t>
      </w:r>
    </w:p>
    <w:p>
      <w:pPr>
        <w:pStyle w:val="FirstParagraph"/>
      </w:pPr>
      <w:r>
        <w:rPr>
          <w:b/>
          <w:bCs/>
        </w:rPr>
        <w:t xml:space="preserve">What it proposes:</w:t>
      </w:r>
      <w:r>
        <w:t xml:space="preserve"> </w:t>
      </w:r>
      <w:r>
        <w:t xml:space="preserve">four long-term approaches, each capped at 4–6% of a portfolio:</w:t>
      </w:r>
    </w:p>
    <w:p>
      <w:pPr>
        <w:pStyle w:val="Compact"/>
        <w:numPr>
          <w:ilvl w:val="0"/>
          <w:numId w:val="1020"/>
        </w:numPr>
      </w:pPr>
      <w:r>
        <w:t xml:space="preserve">Wait for $750–$830 (36–40× earnings) using limit orders.</w:t>
      </w:r>
    </w:p>
    <w:p>
      <w:pPr>
        <w:pStyle w:val="Compact"/>
        <w:numPr>
          <w:ilvl w:val="0"/>
          <w:numId w:val="1020"/>
        </w:numPr>
      </w:pPr>
      <w:r>
        <w:t xml:space="preserve">Buy in 12 equal monthly amounts, doubling below 38× and pausing above 50×.</w:t>
      </w:r>
    </w:p>
    <w:p>
      <w:pPr>
        <w:pStyle w:val="Compact"/>
        <w:numPr>
          <w:ilvl w:val="0"/>
          <w:numId w:val="1020"/>
        </w:numPr>
      </w:pPr>
      <w:r>
        <w:t xml:space="preserve">A 1.5% starter position now, adding only after future filings confirm renewal rates, growth or</w:t>
      </w:r>
      <w:r>
        <w:t xml:space="preserve"> </w:t>
      </w:r>
      <w:r>
        <w:t xml:space="preserve">a lower price.</w:t>
      </w:r>
    </w:p>
    <w:p>
      <w:pPr>
        <w:pStyle w:val="Compact"/>
        <w:numPr>
          <w:ilvl w:val="0"/>
          <w:numId w:val="1020"/>
        </w:numPr>
      </w:pPr>
      <w:r>
        <w:t xml:space="preserve">A dividend-reinvestment approach, buying at or below $830.</w:t>
      </w:r>
    </w:p>
    <w:p>
      <w:pPr>
        <w:pStyle w:val="FirstParagraph"/>
      </w:pPr>
      <w:r>
        <w:rPr>
          <w:b/>
          <w:bCs/>
        </w:rPr>
        <w:t xml:space="preserve">It gets these right:</w:t>
      </w:r>
    </w:p>
    <w:p>
      <w:pPr>
        <w:pStyle w:val="Compact"/>
        <w:numPr>
          <w:ilvl w:val="0"/>
          <w:numId w:val="1021"/>
        </w:numPr>
      </w:pPr>
      <w:r>
        <w:t xml:space="preserve">Valuation is treated as the main issue.</w:t>
      </w:r>
    </w:p>
    <w:p>
      <w:pPr>
        <w:pStyle w:val="Compact"/>
        <w:numPr>
          <w:ilvl w:val="0"/>
          <w:numId w:val="1021"/>
        </w:numPr>
      </w:pPr>
      <w:r>
        <w:t xml:space="preserve">It ties decisions to filing data rather than price moves.</w:t>
      </w:r>
    </w:p>
    <w:p>
      <w:pPr>
        <w:pStyle w:val="Compact"/>
        <w:numPr>
          <w:ilvl w:val="0"/>
          <w:numId w:val="1021"/>
        </w:numPr>
      </w:pPr>
      <w:r>
        <w:t xml:space="preserve">The allocations stay within its own stated caps.</w:t>
      </w:r>
    </w:p>
    <w:p>
      <w:pPr>
        <w:pStyle w:val="Compact"/>
        <w:numPr>
          <w:ilvl w:val="0"/>
          <w:numId w:val="1021"/>
        </w:numPr>
      </w:pPr>
      <w:r>
        <w:t xml:space="preserve">The limit-price arithmetic ($830 ≈ 40×, $790 ≈ 38×, $750 ≈ 36×) is correct.</w:t>
      </w:r>
    </w:p>
    <w:p>
      <w:pPr>
        <w:pStyle w:val="Compact"/>
        <w:numPr>
          <w:ilvl w:val="0"/>
          <w:numId w:val="1021"/>
        </w:numPr>
      </w:pPr>
      <w:r>
        <w:t xml:space="preserve">The wash-sale rule is now stated correctly, including the IRA rule (Rev. Rul. 2008-5).</w:t>
      </w:r>
    </w:p>
    <w:p>
      <w:pPr>
        <w:pStyle w:val="FirstParagraph"/>
      </w:pPr>
      <w:r>
        <w:rPr>
          <w:b/>
          <w:bCs/>
        </w:rPr>
        <w:t xml:space="preserve">Errors and weak points:</w:t>
      </w:r>
    </w:p>
    <w:p>
      <w:pPr>
        <w:pStyle w:val="Compact"/>
        <w:numPr>
          <w:ilvl w:val="0"/>
          <w:numId w:val="1022"/>
        </w:numPr>
      </w:pPr>
      <w:r>
        <w:rPr>
          <w:b/>
          <w:bCs/>
        </w:rPr>
        <w:t xml:space="preserve">Optimistic return arithmetic.</w:t>
      </w:r>
      <w:r>
        <w:t xml:space="preserve"> </w:t>
      </w:r>
      <w:r>
        <w:t xml:space="preserve">The strategy says that 11% EPS growth with the P/E falling to</w:t>
      </w:r>
      <w:r>
        <w:t xml:space="preserve"> </w:t>
      </w:r>
      <w:r>
        <w:t xml:space="preserve">30–33× gives 7.5–8.0% a year in price and 9–10% in total return.</w:t>
      </w:r>
    </w:p>
    <w:p>
      <w:pPr>
        <w:pStyle w:val="Compact"/>
        <w:numPr>
          <w:ilvl w:val="1"/>
          <w:numId w:val="1023"/>
        </w:numPr>
      </w:pPr>
      <w:r>
        <w:t xml:space="preserve">The correct price return is</w:t>
      </w:r>
      <w:r>
        <w:t xml:space="preserve"> </w:t>
      </w:r>
      <w:r>
        <w:rPr>
          <w:b/>
          <w:bCs/>
        </w:rPr>
        <w:t xml:space="preserve">about 6.7–7.8%</w:t>
      </w:r>
      <w:r>
        <w:t xml:space="preserve"> </w:t>
      </w:r>
      <w:r>
        <w:t xml:space="preserve">a year (see my table).</w:t>
      </w:r>
    </w:p>
    <w:p>
      <w:pPr>
        <w:pStyle w:val="Compact"/>
        <w:numPr>
          <w:ilvl w:val="1"/>
          <w:numId w:val="1023"/>
        </w:numPr>
      </w:pPr>
      <w:r>
        <w:t xml:space="preserve">The total return is</w:t>
      </w:r>
      <w:r>
        <w:t xml:space="preserve"> </w:t>
      </w:r>
      <w:r>
        <w:rPr>
          <w:b/>
          <w:bCs/>
        </w:rPr>
        <w:t xml:space="preserve">about 7.4–8.4%</w:t>
      </w:r>
      <w:r>
        <w:t xml:space="preserve"> </w:t>
      </w:r>
      <w:r>
        <w:t xml:space="preserve">with the regular dividend.</w:t>
      </w:r>
    </w:p>
    <w:p>
      <w:pPr>
        <w:pStyle w:val="Compact"/>
        <w:numPr>
          <w:ilvl w:val="1"/>
          <w:numId w:val="1023"/>
        </w:numPr>
      </w:pPr>
      <w:r>
        <w:t xml:space="preserve">9–10% is only reached if you assume sizeable special dividends.</w:t>
      </w:r>
    </w:p>
    <w:p>
      <w:pPr>
        <w:pStyle w:val="Compact"/>
        <w:numPr>
          <w:ilvl w:val="0"/>
          <w:numId w:val="1022"/>
        </w:numPr>
      </w:pPr>
      <w:r>
        <w:rPr>
          <w:b/>
          <w:bCs/>
        </w:rPr>
        <w:t xml:space="preserve">Dividend</w:t>
      </w:r>
      <w:r>
        <w:rPr>
          <w:b/>
          <w:bCs/>
        </w:rPr>
        <w:t xml:space="preserve"> </w:t>
      </w:r>
      <w:r>
        <w:rPr>
          <w:b/>
          <w:bCs/>
        </w:rPr>
        <w:t xml:space="preserve">“2% yield on cost”</w:t>
      </w:r>
      <w:r>
        <w:rPr>
          <w:b/>
          <w:bCs/>
        </w:rPr>
        <w:t xml:space="preserve"> </w:t>
      </w:r>
      <w:r>
        <w:rPr>
          <w:b/>
          <w:bCs/>
        </w:rPr>
        <w:t xml:space="preserve">target is not realistic.</w:t>
      </w:r>
      <w:r>
        <w:t xml:space="preserve"> </w:t>
      </w:r>
      <w:r>
        <w:t xml:space="preserve">Approach 4 aims for a regular plus</w:t>
      </w:r>
      <w:r>
        <w:t xml:space="preserve"> </w:t>
      </w:r>
      <w:r>
        <w:t xml:space="preserve">special dividend yield above 2% when buying at $830.</w:t>
      </w:r>
    </w:p>
    <w:p>
      <w:pPr>
        <w:pStyle w:val="Compact"/>
        <w:numPr>
          <w:ilvl w:val="1"/>
          <w:numId w:val="1024"/>
        </w:numPr>
      </w:pPr>
      <w:r>
        <w:t xml:space="preserve">The regular dividend gives 0.71% at $830.</w:t>
      </w:r>
    </w:p>
    <w:p>
      <w:pPr>
        <w:pStyle w:val="Compact"/>
        <w:numPr>
          <w:ilvl w:val="1"/>
          <w:numId w:val="1024"/>
        </w:numPr>
      </w:pPr>
      <w:r>
        <w:t xml:space="preserve">Specials have averaged roughly $3 a year over the past decade, adding about 0.4%.</w:t>
      </w:r>
    </w:p>
    <w:p>
      <w:pPr>
        <w:pStyle w:val="Compact"/>
        <w:numPr>
          <w:ilvl w:val="1"/>
          <w:numId w:val="1024"/>
        </w:numPr>
      </w:pPr>
      <w:r>
        <w:t xml:space="preserve">That totals about</w:t>
      </w:r>
      <w:r>
        <w:t xml:space="preserve"> </w:t>
      </w:r>
      <w:r>
        <w:rPr>
          <w:b/>
          <w:bCs/>
        </w:rPr>
        <w:t xml:space="preserve">1.1%, not 2%</w:t>
      </w:r>
      <w:r>
        <w:t xml:space="preserve">.</w:t>
      </w:r>
    </w:p>
    <w:p>
      <w:pPr>
        <w:pStyle w:val="Compact"/>
        <w:numPr>
          <w:ilvl w:val="0"/>
          <w:numId w:val="1022"/>
        </w:numPr>
      </w:pPr>
      <w:r>
        <w:rPr>
          <w:b/>
          <w:bCs/>
        </w:rPr>
        <w:t xml:space="preserve">Stale dividend:</w:t>
      </w:r>
      <w:r>
        <w:t xml:space="preserve"> </w:t>
      </w:r>
      <w:r>
        <w:t xml:space="preserve">it uses $5.20/year; the current rate is $5.88.</w:t>
      </w:r>
    </w:p>
    <w:p>
      <w:pPr>
        <w:pStyle w:val="Compact"/>
        <w:numPr>
          <w:ilvl w:val="0"/>
          <w:numId w:val="1022"/>
        </w:numPr>
      </w:pPr>
      <w:r>
        <w:rPr>
          <w:b/>
          <w:bCs/>
        </w:rPr>
        <w:t xml:space="preserve">Everything hinges on one unverified number:</w:t>
      </w:r>
      <w:r>
        <w:t xml:space="preserve"> </w:t>
      </w:r>
      <w:r>
        <w:t xml:space="preserve">most price levels are anchored to a</w:t>
      </w:r>
      <w:r>
        <w:t xml:space="preserve"> </w:t>
      </w:r>
      <w:r>
        <w:t xml:space="preserve">“10-year</w:t>
      </w:r>
      <w:r>
        <w:t xml:space="preserve"> </w:t>
      </w:r>
      <w:r>
        <w:t xml:space="preserve">median P/E of 38×”</w:t>
      </w:r>
      <w:r>
        <w:t xml:space="preserve"> </w:t>
      </w:r>
      <w:r>
        <w:t xml:space="preserve">from a single search source. If that figure is off, the price levels shift</w:t>
      </w:r>
      <w:r>
        <w:t xml:space="preserve"> </w:t>
      </w:r>
      <w:r>
        <w:t xml:space="preserve">with it.</w:t>
      </w:r>
    </w:p>
    <w:p>
      <w:pPr>
        <w:pStyle w:val="Compact"/>
        <w:numPr>
          <w:ilvl w:val="0"/>
          <w:numId w:val="1022"/>
        </w:numPr>
      </w:pPr>
      <w:r>
        <w:rPr>
          <w:b/>
          <w:bCs/>
        </w:rPr>
        <w:t xml:space="preserve">Membership counts mixed up:</w:t>
      </w:r>
      <w:r>
        <w:t xml:space="preserve"> </w:t>
      </w:r>
      <w:r>
        <w:t xml:space="preserve">it calls 84.1M</w:t>
      </w:r>
      <w:r>
        <w:t xml:space="preserve"> </w:t>
      </w:r>
      <w:r>
        <w:t xml:space="preserve">“total cardholders”</w:t>
      </w:r>
      <w:r>
        <w:t xml:space="preserve"> </w:t>
      </w:r>
      <w:r>
        <w:t xml:space="preserve">and</w:t>
      </w:r>
      <w:r>
        <w:t xml:space="preserve"> </w:t>
      </w:r>
      <w:r>
        <w:t xml:space="preserve">“paid cardholders”</w:t>
      </w:r>
      <w:r>
        <w:t xml:space="preserve">.</w:t>
      </w:r>
      <w:r>
        <w:t xml:space="preserve"> </w:t>
      </w:r>
      <w:r>
        <w:t xml:space="preserve">84.1M is paid members (search figure). Cardholders were about 145M.</w:t>
      </w:r>
    </w:p>
    <w:p>
      <w:pPr>
        <w:pStyle w:val="Compact"/>
        <w:numPr>
          <w:ilvl w:val="0"/>
          <w:numId w:val="1022"/>
        </w:numPr>
      </w:pPr>
      <w:r>
        <w:rPr>
          <w:b/>
          <w:bCs/>
        </w:rPr>
        <w:t xml:space="preserve">Tax notes are incomplete.</w:t>
      </w:r>
    </w:p>
    <w:p>
      <w:pPr>
        <w:pStyle w:val="Compact"/>
        <w:numPr>
          <w:ilvl w:val="1"/>
          <w:numId w:val="1025"/>
        </w:numPr>
      </w:pPr>
      <w:r>
        <w:t xml:space="preserve">It gives 15–20% for long-term capital-gains tax but omits the 3.8% net investment income tax</w:t>
      </w:r>
      <w:r>
        <w:t xml:space="preserve"> </w:t>
      </w:r>
      <w:r>
        <w:t xml:space="preserve">that applies above certain income levels.</w:t>
      </w:r>
    </w:p>
    <w:p>
      <w:pPr>
        <w:pStyle w:val="Compact"/>
        <w:numPr>
          <w:ilvl w:val="1"/>
          <w:numId w:val="1025"/>
        </w:numPr>
      </w:pPr>
      <w:r>
        <w:t xml:space="preserve">It lists HSAs under the wash-sale ruling; the IRS ruling specifically covers IRAs, and how</w:t>
      </w:r>
      <w:r>
        <w:t xml:space="preserve"> </w:t>
      </w:r>
      <w:r>
        <w:t xml:space="preserve">HSAs are treated is less settled.</w:t>
      </w:r>
    </w:p>
    <w:p>
      <w:pPr>
        <w:pStyle w:val="Compact"/>
        <w:numPr>
          <w:ilvl w:val="0"/>
          <w:numId w:val="1000"/>
        </w:numPr>
      </w:pPr>
      <w:r>
        <w:t xml:space="preserve">These are general points for a tax professional.</w:t>
      </w:r>
    </w:p>
    <w:p>
      <w:pPr>
        <w:pStyle w:val="Compact"/>
        <w:numPr>
          <w:ilvl w:val="0"/>
          <w:numId w:val="1022"/>
        </w:numPr>
      </w:pPr>
      <w:r>
        <w:rPr>
          <w:b/>
          <w:bCs/>
        </w:rPr>
        <w:t xml:space="preserve">The opportunity cost of waiting is understated.</w:t>
      </w:r>
      <w:r>
        <w:t xml:space="preserve"> </w:t>
      </w:r>
      <w:r>
        <w:t xml:space="preserve">Approaches 1 and 4 need a 10–19% fall</w:t>
      </w:r>
      <w:r>
        <w:t xml:space="preserve"> </w:t>
      </w:r>
      <w:r>
        <w:t xml:space="preserve">before buying anything. The scenario mentions this, but in 10 years there may never be a fill.</w:t>
      </w:r>
    </w:p>
    <w:p>
      <w:pPr>
        <w:pStyle w:val="FirstParagraph"/>
      </w:pPr>
      <w:r>
        <w:rPr>
          <w:b/>
          <w:bCs/>
        </w:rPr>
        <w:t xml:space="preserve">Points for a second opinion from a qualified professional:</w:t>
      </w:r>
    </w:p>
    <w:p>
      <w:pPr>
        <w:pStyle w:val="Compact"/>
        <w:numPr>
          <w:ilvl w:val="0"/>
          <w:numId w:val="1026"/>
        </w:numPr>
      </w:pPr>
      <w:r>
        <w:t xml:space="preserve">Whether any single-stock allocation of this size suits your overall plan.</w:t>
      </w:r>
    </w:p>
    <w:p>
      <w:pPr>
        <w:pStyle w:val="Compact"/>
        <w:numPr>
          <w:ilvl w:val="0"/>
          <w:numId w:val="1026"/>
        </w:numPr>
      </w:pPr>
      <w:r>
        <w:t xml:space="preserve">Account placement (taxable vs retirement).</w:t>
      </w:r>
    </w:p>
    <w:p>
      <w:pPr>
        <w:pStyle w:val="Compact"/>
        <w:numPr>
          <w:ilvl w:val="0"/>
          <w:numId w:val="1026"/>
        </w:numPr>
      </w:pPr>
      <w:r>
        <w:t xml:space="preserve">How a very high-P/E holding fits alongside the funds you already own. Many broad index funds</w:t>
      </w:r>
      <w:r>
        <w:t xml:space="preserve"> </w:t>
      </w:r>
      <w:r>
        <w:t xml:space="preserve">already hold Costco.</w:t>
      </w:r>
    </w:p>
    <w:bookmarkEnd w:id="18"/>
    <w:bookmarkStart w:id="19" w:name="disclaimer"/>
    <w:p>
      <w:pPr>
        <w:pStyle w:val="Heading1"/>
      </w:pPr>
      <w:r>
        <w:t xml:space="preserve">Disclaimer</w:t>
      </w:r>
    </w:p>
    <w:p>
      <w:pPr>
        <w:pStyle w:val="FirstParagraph"/>
      </w:pPr>
      <w:r>
        <w:t xml:space="preserve">This report is for educational and informational purposes only. It is not financial, investment,</w:t>
      </w:r>
      <w:r>
        <w:t xml:space="preserve"> </w:t>
      </w:r>
      <w:r>
        <w:t xml:space="preserve">tax or legal advice, and not a recommendation to buy or sell any security. It combines AI-generated</w:t>
      </w:r>
      <w:r>
        <w:t xml:space="preserve"> </w:t>
      </w:r>
      <w:r>
        <w:t xml:space="preserve">research (Gemini) with AI analysis (Claude). Both can contain errors, and search-sourced figures</w:t>
      </w:r>
      <w:r>
        <w:t xml:space="preserve"> </w:t>
      </w:r>
      <w:r>
        <w:t xml:space="preserve">are unverified. Verify important facts and consult a qualified professional before making</w:t>
      </w:r>
      <w:r>
        <w:t xml:space="preserve"> </w:t>
      </w:r>
      <w:r>
        <w:t xml:space="preserve">investment decisions.</w:t>
      </w:r>
    </w:p>
    <w:p>
      <w:r>
        <w:br w:type="page"/>
      </w:r>
    </w:p>
    <w:p>
      <w:pPr>
        <w:pStyle w:val="BodyText"/>
      </w:pPr>
      <w:r>
        <w:rPr>
          <w:i/>
          <w:iCs/>
        </w:rPr>
        <w:t xml:space="preserve">The appendices are the Gemini specialists’ raw output, included for reference. Claude’s review of them is in the main report; where they disagree, the main report reflects the checked figures.</w:t>
      </w:r>
    </w:p>
    <w:p>
      <w:r>
        <w:br w:type="page"/>
      </w:r>
    </w:p>
    <w:bookmarkEnd w:id="19"/>
    <w:bookmarkStart w:id="33" w:name="Xd8263fab91671fac437c152d0aa5abf8e308b6c"/>
    <w:p>
      <w:pPr>
        <w:pStyle w:val="Heading1"/>
      </w:pPr>
      <w:r>
        <w:t xml:space="preserve">Appendix A: SEC Filings Analysis (Gemini SEC analyst)</w:t>
      </w:r>
    </w:p>
    <w:p>
      <w:pPr>
        <w:pStyle w:val="FirstParagraph"/>
      </w:pPr>
      <w:r>
        <w:rPr>
          <w:b/>
          <w:bCs/>
        </w:rPr>
        <w:t xml:space="preserve">SEC Filings Analysis for: COSTCO WHOLESALE CORP /NEW (COST)</w:t>
      </w:r>
      <w:r>
        <w:br/>
      </w:r>
      <w:r>
        <w:rPr>
          <w:b/>
          <w:bCs/>
        </w:rPr>
        <w:t xml:space="preserve">Fiscal year ends:</w:t>
      </w:r>
      <w:r>
        <w:t xml:space="preserve"> </w:t>
      </w:r>
      <w:r>
        <w:t xml:space="preserve">08-30 |</w:t>
      </w:r>
      <w:r>
        <w:t xml:space="preserve"> </w:t>
      </w:r>
      <w:r>
        <w:rPr>
          <w:b/>
          <w:bCs/>
        </w:rPr>
        <w:t xml:space="preserve">Data as of latest filing:</w:t>
      </w:r>
      <w:r>
        <w:t xml:space="preserve"> </w:t>
      </w:r>
      <w:r>
        <w:t xml:space="preserve">September 24, 2026</w:t>
      </w:r>
    </w:p>
    <w:p>
      <w:r>
        <w:pict>
          <v:rect style="width:0;height:1.5pt" o:hralign="center" o:hrstd="t" o:hr="t"/>
        </w:pict>
      </w:r>
    </w:p>
    <w:bookmarkStart w:id="20" w:name="key-takeaways"/>
    <w:p>
      <w:pPr>
        <w:pStyle w:val="Heading3"/>
      </w:pPr>
      <w:r>
        <w:t xml:space="preserve">1. Key Takeaways</w:t>
      </w:r>
    </w:p>
    <w:p>
      <w:pPr>
        <w:pStyle w:val="Compact"/>
        <w:numPr>
          <w:ilvl w:val="0"/>
          <w:numId w:val="1027"/>
        </w:numPr>
      </w:pPr>
      <w:r>
        <w:rPr>
          <w:b/>
          <w:bCs/>
        </w:rPr>
        <w:t xml:space="preserve">Sustained Top-Line and Membership Growth:</w:t>
      </w:r>
      <w:r>
        <w:t xml:space="preserve"> </w:t>
      </w:r>
      <w:r>
        <w:t xml:space="preserve">Total revenue surpassed $303.15B in FY2026 (52 weeks ended August 30, 2026), up 10.1% year-over-year, driven by an 8.4% comparable sales increase (6.6% adjusted for gas and FX) and an 11.0% expansion in high-margin membership fee income to $5.91B.</w:t>
      </w:r>
    </w:p>
    <w:p>
      <w:pPr>
        <w:pStyle w:val="Compact"/>
        <w:numPr>
          <w:ilvl w:val="0"/>
          <w:numId w:val="1027"/>
        </w:numPr>
      </w:pPr>
      <w:r>
        <w:rPr>
          <w:b/>
          <w:bCs/>
        </w:rPr>
        <w:t xml:space="preserve">Consistent Operating Margins and Strong Cash Generation:</w:t>
      </w:r>
      <w:r>
        <w:t xml:space="preserve"> </w:t>
      </w:r>
      <w:r>
        <w:t xml:space="preserve">Operating margins remained exceptionally steady at 3.9% in FY2026 (compared to 3.8% in FY2025 and 3.6% in FY2024), reflecting Costco’s disciplined pricing model and tight expense control. Free cash flow surged to $9.39B in FY2026, up 19.8% from $7.84B in FY2025.</w:t>
      </w:r>
    </w:p>
    <w:p>
      <w:pPr>
        <w:pStyle w:val="Compact"/>
        <w:numPr>
          <w:ilvl w:val="0"/>
          <w:numId w:val="1027"/>
        </w:numPr>
      </w:pPr>
      <w:r>
        <w:rPr>
          <w:b/>
          <w:bCs/>
        </w:rPr>
        <w:t xml:space="preserve">Fortress Liquidity Position:</w:t>
      </w:r>
      <w:r>
        <w:t xml:space="preserve"> </w:t>
      </w:r>
      <w:r>
        <w:t xml:space="preserve">Costco concluded FY2026 with $20.21B in cash and cash equivalents (plus $1.09B in short-term investments) against total debt of $6.16B ($3.91B long-term debt excluding current installments and $2.25B current debt), leaving the company in a significant net cash position.</w:t>
      </w:r>
    </w:p>
    <w:p>
      <w:pPr>
        <w:pStyle w:val="Compact"/>
        <w:numPr>
          <w:ilvl w:val="0"/>
          <w:numId w:val="1027"/>
        </w:numPr>
      </w:pPr>
      <w:r>
        <w:rPr>
          <w:b/>
          <w:bCs/>
        </w:rPr>
        <w:t xml:space="preserve">Digitally-Enabled Acceleration:</w:t>
      </w:r>
      <w:r>
        <w:t xml:space="preserve"> </w:t>
      </w:r>
      <w:r>
        <w:t xml:space="preserve">Digitally-enabled comparable sales rose 20.9% for FY2026 (19.5% in Q4), showing sustained momentum in Costco’s digital and omnichannel initiatives.</w:t>
      </w:r>
    </w:p>
    <w:p>
      <w:pPr>
        <w:pStyle w:val="Compact"/>
        <w:numPr>
          <w:ilvl w:val="0"/>
          <w:numId w:val="1027"/>
        </w:numPr>
      </w:pPr>
      <w:r>
        <w:rPr>
          <w:b/>
          <w:bCs/>
        </w:rPr>
        <w:t xml:space="preserve">Capital Returns:</w:t>
      </w:r>
      <w:r>
        <w:t xml:space="preserve"> </w:t>
      </w:r>
      <w:r>
        <w:t xml:space="preserve">Costco returned $2.46B through regular quarterly dividends and repurchased $848M of common stock in FY2026, continuing its history of capital return without leveraging the balance sheet.</w:t>
      </w:r>
    </w:p>
    <w:p>
      <w:r>
        <w:pict>
          <v:rect style="width:0;height:1.5pt" o:hralign="center" o:hrstd="t" o:hr="t"/>
        </w:pict>
      </w:r>
    </w:p>
    <w:bookmarkEnd w:id="20"/>
    <w:bookmarkStart w:id="21" w:name="financial-trend-table"/>
    <w:p>
      <w:pPr>
        <w:pStyle w:val="Heading3"/>
      </w:pPr>
      <w:r>
        <w:t xml:space="preserve">2. Financial Trend Table</w:t>
      </w:r>
    </w:p>
    <w:tbl>
      <w:tblPr>
        <w:tblStyle w:val="Table"/>
        <w:tblW w:type="pct" w:w="5000"/>
        <w:tblLayout w:type="fixed"/>
        <w:tblLook w:firstRow="1" w:lastRow="0" w:firstColumn="0" w:lastColumn="0" w:noHBand="0" w:noVBand="0" w:val="0020"/>
      </w:tblPr>
      <w:tblGrid>
        <w:gridCol w:w="646"/>
        <w:gridCol w:w="808"/>
        <w:gridCol w:w="808"/>
        <w:gridCol w:w="808"/>
        <w:gridCol w:w="808"/>
        <w:gridCol w:w="808"/>
        <w:gridCol w:w="808"/>
        <w:gridCol w:w="808"/>
        <w:gridCol w:w="808"/>
        <w:gridCol w:w="808"/>
      </w:tblGrid>
      <w:tr>
        <w:trPr>
          <w:tblHeader w:val="on"/>
        </w:trPr>
        <w:tc>
          <w:tcPr/>
          <w:p>
            <w:pPr>
              <w:pStyle w:val="Compact"/>
              <w:jc w:val="left"/>
            </w:pPr>
            <w:r>
              <w:t xml:space="preserve">Fiscal Year</w:t>
            </w:r>
          </w:p>
        </w:tc>
        <w:tc>
          <w:tcPr/>
          <w:p>
            <w:pPr>
              <w:pStyle w:val="Compact"/>
              <w:jc w:val="center"/>
            </w:pPr>
            <w:r>
              <w:t xml:space="preserve">Total Revenue</w:t>
            </w:r>
          </w:p>
        </w:tc>
        <w:tc>
          <w:tcPr/>
          <w:p>
            <w:pPr>
              <w:pStyle w:val="Compact"/>
              <w:jc w:val="center"/>
            </w:pPr>
            <w:r>
              <w:t xml:space="preserve">Revenue Growth %</w:t>
            </w:r>
          </w:p>
        </w:tc>
        <w:tc>
          <w:tcPr/>
          <w:p>
            <w:pPr>
              <w:pStyle w:val="Compact"/>
              <w:jc w:val="center"/>
            </w:pPr>
            <w:r>
              <w:t xml:space="preserve">Operating Margin %</w:t>
            </w:r>
          </w:p>
        </w:tc>
        <w:tc>
          <w:tcPr/>
          <w:p>
            <w:pPr>
              <w:pStyle w:val="Compact"/>
              <w:jc w:val="center"/>
            </w:pPr>
            <w:r>
              <w:t xml:space="preserve">Net Margin %</w:t>
            </w:r>
          </w:p>
        </w:tc>
        <w:tc>
          <w:tcPr/>
          <w:p>
            <w:pPr>
              <w:pStyle w:val="Compact"/>
              <w:jc w:val="center"/>
            </w:pPr>
            <w:r>
              <w:t xml:space="preserve">Diluted EPS</w:t>
            </w:r>
          </w:p>
        </w:tc>
        <w:tc>
          <w:tcPr/>
          <w:p>
            <w:pPr>
              <w:pStyle w:val="Compact"/>
              <w:jc w:val="center"/>
            </w:pPr>
            <w:r>
              <w:t xml:space="preserve">EPS Growth %</w:t>
            </w:r>
          </w:p>
        </w:tc>
        <w:tc>
          <w:tcPr/>
          <w:p>
            <w:pPr>
              <w:pStyle w:val="Compact"/>
              <w:jc w:val="center"/>
            </w:pPr>
            <w:r>
              <w:t xml:space="preserve">Free Cash Flow</w:t>
            </w:r>
          </w:p>
        </w:tc>
        <w:tc>
          <w:tcPr/>
          <w:p>
            <w:pPr>
              <w:pStyle w:val="Compact"/>
              <w:jc w:val="center"/>
            </w:pPr>
            <w:r>
              <w:t xml:space="preserve">Long-Term Debt*</w:t>
            </w:r>
          </w:p>
        </w:tc>
        <w:tc>
          <w:tcPr/>
          <w:p>
            <w:pPr>
              <w:pStyle w:val="Compact"/>
              <w:jc w:val="center"/>
            </w:pPr>
            <w:r>
              <w:t xml:space="preserve">Dividends / Share</w:t>
            </w:r>
          </w:p>
        </w:tc>
      </w:tr>
      <w:tr>
        <w:tc>
          <w:tcPr/>
          <w:p>
            <w:pPr>
              <w:pStyle w:val="Compact"/>
              <w:jc w:val="left"/>
            </w:pPr>
            <w:r>
              <w:rPr>
                <w:b/>
                <w:bCs/>
              </w:rPr>
              <w:t xml:space="preserve">FY2026</w:t>
            </w:r>
            <w:r>
              <w:t xml:space="preserve"> </w:t>
            </w:r>
            <w:r>
              <w:t xml:space="preserve">(unaudited 8-K)</w:t>
            </w:r>
          </w:p>
        </w:tc>
        <w:tc>
          <w:tcPr/>
          <w:p>
            <w:pPr>
              <w:pStyle w:val="Compact"/>
              <w:jc w:val="center"/>
            </w:pPr>
            <w:r>
              <w:t xml:space="preserve">$303.15B</w:t>
            </w:r>
          </w:p>
        </w:tc>
        <w:tc>
          <w:tcPr/>
          <w:p>
            <w:pPr>
              <w:pStyle w:val="Compact"/>
              <w:jc w:val="center"/>
            </w:pPr>
            <w:r>
              <w:t xml:space="preserve">+10.1%</w:t>
            </w:r>
          </w:p>
        </w:tc>
        <w:tc>
          <w:tcPr/>
          <w:p>
            <w:pPr>
              <w:pStyle w:val="Compact"/>
              <w:jc w:val="center"/>
            </w:pPr>
            <w:r>
              <w:t xml:space="preserve">3.9%</w:t>
            </w:r>
          </w:p>
        </w:tc>
        <w:tc>
          <w:tcPr/>
          <w:p>
            <w:pPr>
              <w:pStyle w:val="Compact"/>
              <w:jc w:val="center"/>
            </w:pPr>
            <w:r>
              <w:t xml:space="preserve">3.0%</w:t>
            </w:r>
          </w:p>
        </w:tc>
        <w:tc>
          <w:tcPr/>
          <w:p>
            <w:pPr>
              <w:pStyle w:val="Compact"/>
              <w:jc w:val="center"/>
            </w:pPr>
            <w:r>
              <w:t xml:space="preserve">$20.76</w:t>
            </w:r>
          </w:p>
        </w:tc>
        <w:tc>
          <w:tcPr/>
          <w:p>
            <w:pPr>
              <w:pStyle w:val="Compact"/>
              <w:jc w:val="center"/>
            </w:pPr>
            <w:r>
              <w:t xml:space="preserve">+14.0%</w:t>
            </w:r>
          </w:p>
        </w:tc>
        <w:tc>
          <w:tcPr/>
          <w:p>
            <w:pPr>
              <w:pStyle w:val="Compact"/>
              <w:jc w:val="center"/>
            </w:pPr>
            <w:r>
              <w:t xml:space="preserve">$9.39B</w:t>
            </w:r>
          </w:p>
        </w:tc>
        <w:tc>
          <w:tcPr/>
          <w:p>
            <w:pPr>
              <w:pStyle w:val="Compact"/>
              <w:jc w:val="center"/>
            </w:pPr>
            <w:r>
              <w:t xml:space="preserve">$3.91B</w:t>
            </w:r>
          </w:p>
        </w:tc>
        <w:tc>
          <w:tcPr/>
          <w:p>
            <w:pPr>
              <w:pStyle w:val="Compact"/>
              <w:jc w:val="center"/>
            </w:pPr>
            <w:r>
              <w:t xml:space="preserve">Cash paid: $2.46B</w:t>
            </w:r>
          </w:p>
        </w:tc>
      </w:tr>
      <w:tr>
        <w:tc>
          <w:tcPr/>
          <w:p>
            <w:pPr>
              <w:pStyle w:val="Compact"/>
              <w:jc w:val="left"/>
            </w:pPr>
            <w:r>
              <w:rPr>
                <w:b/>
                <w:bCs/>
              </w:rPr>
              <w:t xml:space="preserve">FY2025</w:t>
            </w:r>
          </w:p>
        </w:tc>
        <w:tc>
          <w:tcPr/>
          <w:p>
            <w:pPr>
              <w:pStyle w:val="Compact"/>
              <w:jc w:val="center"/>
            </w:pPr>
            <w:r>
              <w:t xml:space="preserve">$275.24B</w:t>
            </w:r>
          </w:p>
        </w:tc>
        <w:tc>
          <w:tcPr/>
          <w:p>
            <w:pPr>
              <w:pStyle w:val="Compact"/>
              <w:jc w:val="center"/>
            </w:pPr>
            <w:r>
              <w:t xml:space="preserve">+8.2%</w:t>
            </w:r>
          </w:p>
        </w:tc>
        <w:tc>
          <w:tcPr/>
          <w:p>
            <w:pPr>
              <w:pStyle w:val="Compact"/>
              <w:jc w:val="center"/>
            </w:pPr>
            <w:r>
              <w:t xml:space="preserve">3.8%</w:t>
            </w:r>
          </w:p>
        </w:tc>
        <w:tc>
          <w:tcPr/>
          <w:p>
            <w:pPr>
              <w:pStyle w:val="Compact"/>
              <w:jc w:val="center"/>
            </w:pPr>
            <w:r>
              <w:t xml:space="preserve">2.9%</w:t>
            </w:r>
          </w:p>
        </w:tc>
        <w:tc>
          <w:tcPr/>
          <w:p>
            <w:pPr>
              <w:pStyle w:val="Compact"/>
              <w:jc w:val="center"/>
            </w:pPr>
            <w:r>
              <w:t xml:space="preserve">$18.21</w:t>
            </w:r>
          </w:p>
        </w:tc>
        <w:tc>
          <w:tcPr/>
          <w:p>
            <w:pPr>
              <w:pStyle w:val="Compact"/>
              <w:jc w:val="center"/>
            </w:pPr>
            <w:r>
              <w:t xml:space="preserve">+10.0%</w:t>
            </w:r>
          </w:p>
        </w:tc>
        <w:tc>
          <w:tcPr/>
          <w:p>
            <w:pPr>
              <w:pStyle w:val="Compact"/>
              <w:jc w:val="center"/>
            </w:pPr>
            <w:r>
              <w:t xml:space="preserve">$7.84B</w:t>
            </w:r>
          </w:p>
        </w:tc>
        <w:tc>
          <w:tcPr/>
          <w:p>
            <w:pPr>
              <w:pStyle w:val="Compact"/>
              <w:jc w:val="center"/>
            </w:pPr>
            <w:r>
              <w:t xml:space="preserve">$5.71B</w:t>
            </w:r>
          </w:p>
        </w:tc>
        <w:tc>
          <w:tcPr/>
          <w:p>
            <w:pPr>
              <w:pStyle w:val="Compact"/>
              <w:jc w:val="center"/>
            </w:pPr>
            <w:r>
              <w:t xml:space="preserve">$4.92</w:t>
            </w:r>
          </w:p>
        </w:tc>
      </w:tr>
      <w:tr>
        <w:tc>
          <w:tcPr/>
          <w:p>
            <w:pPr>
              <w:pStyle w:val="Compact"/>
              <w:jc w:val="left"/>
            </w:pPr>
            <w:r>
              <w:rPr>
                <w:b/>
                <w:bCs/>
              </w:rPr>
              <w:t xml:space="preserve">FY2024</w:t>
            </w:r>
          </w:p>
        </w:tc>
        <w:tc>
          <w:tcPr/>
          <w:p>
            <w:pPr>
              <w:pStyle w:val="Compact"/>
              <w:jc w:val="center"/>
            </w:pPr>
            <w:r>
              <w:t xml:space="preserve">$254.45B</w:t>
            </w:r>
          </w:p>
        </w:tc>
        <w:tc>
          <w:tcPr/>
          <w:p>
            <w:pPr>
              <w:pStyle w:val="Compact"/>
              <w:jc w:val="center"/>
            </w:pPr>
            <w:r>
              <w:t xml:space="preserve">+5.0%</w:t>
            </w:r>
          </w:p>
        </w:tc>
        <w:tc>
          <w:tcPr/>
          <w:p>
            <w:pPr>
              <w:pStyle w:val="Compact"/>
              <w:jc w:val="center"/>
            </w:pPr>
            <w:r>
              <w:t xml:space="preserve">3.6%</w:t>
            </w:r>
          </w:p>
        </w:tc>
        <w:tc>
          <w:tcPr/>
          <w:p>
            <w:pPr>
              <w:pStyle w:val="Compact"/>
              <w:jc w:val="center"/>
            </w:pPr>
            <w:r>
              <w:t xml:space="preserve">2.9%</w:t>
            </w:r>
          </w:p>
        </w:tc>
        <w:tc>
          <w:tcPr/>
          <w:p>
            <w:pPr>
              <w:pStyle w:val="Compact"/>
              <w:jc w:val="center"/>
            </w:pPr>
            <w:r>
              <w:t xml:space="preserve">$16.56</w:t>
            </w:r>
          </w:p>
        </w:tc>
        <w:tc>
          <w:tcPr/>
          <w:p>
            <w:pPr>
              <w:pStyle w:val="Compact"/>
              <w:jc w:val="center"/>
            </w:pPr>
            <w:r>
              <w:t xml:space="preserve">+16.9%</w:t>
            </w:r>
          </w:p>
        </w:tc>
        <w:tc>
          <w:tcPr/>
          <w:p>
            <w:pPr>
              <w:pStyle w:val="Compact"/>
              <w:jc w:val="center"/>
            </w:pPr>
            <w:r>
              <w:t xml:space="preserve">$6.63B</w:t>
            </w:r>
          </w:p>
        </w:tc>
        <w:tc>
          <w:tcPr/>
          <w:p>
            <w:pPr>
              <w:pStyle w:val="Compact"/>
              <w:jc w:val="center"/>
            </w:pPr>
            <w:r>
              <w:t xml:space="preserve">$5.79B</w:t>
            </w:r>
          </w:p>
        </w:tc>
        <w:tc>
          <w:tcPr/>
          <w:p>
            <w:pPr>
              <w:pStyle w:val="Compact"/>
              <w:jc w:val="center"/>
            </w:pPr>
            <w:r>
              <w:t xml:space="preserve">$19.36**</w:t>
            </w:r>
          </w:p>
        </w:tc>
      </w:tr>
      <w:tr>
        <w:tc>
          <w:tcPr/>
          <w:p>
            <w:pPr>
              <w:pStyle w:val="Compact"/>
              <w:jc w:val="left"/>
            </w:pPr>
            <w:r>
              <w:rPr>
                <w:b/>
                <w:bCs/>
              </w:rPr>
              <w:t xml:space="preserve">FY2023</w:t>
            </w:r>
          </w:p>
        </w:tc>
        <w:tc>
          <w:tcPr/>
          <w:p>
            <w:pPr>
              <w:pStyle w:val="Compact"/>
              <w:jc w:val="center"/>
            </w:pPr>
            <w:r>
              <w:t xml:space="preserve">$242.29B</w:t>
            </w:r>
          </w:p>
        </w:tc>
        <w:tc>
          <w:tcPr/>
          <w:p>
            <w:pPr>
              <w:pStyle w:val="Compact"/>
              <w:jc w:val="center"/>
            </w:pPr>
            <w:r>
              <w:t xml:space="preserve">+6.8%</w:t>
            </w:r>
          </w:p>
        </w:tc>
        <w:tc>
          <w:tcPr/>
          <w:p>
            <w:pPr>
              <w:pStyle w:val="Compact"/>
              <w:jc w:val="center"/>
            </w:pPr>
            <w:r>
              <w:t xml:space="preserve">3.3%</w:t>
            </w:r>
          </w:p>
        </w:tc>
        <w:tc>
          <w:tcPr/>
          <w:p>
            <w:pPr>
              <w:pStyle w:val="Compact"/>
              <w:jc w:val="center"/>
            </w:pPr>
            <w:r>
              <w:t xml:space="preserve">2.6%</w:t>
            </w:r>
          </w:p>
        </w:tc>
        <w:tc>
          <w:tcPr/>
          <w:p>
            <w:pPr>
              <w:pStyle w:val="Compact"/>
              <w:jc w:val="center"/>
            </w:pPr>
            <w:r>
              <w:t xml:space="preserve">$14.16</w:t>
            </w:r>
          </w:p>
        </w:tc>
        <w:tc>
          <w:tcPr/>
          <w:p>
            <w:pPr>
              <w:pStyle w:val="Compact"/>
              <w:jc w:val="center"/>
            </w:pPr>
            <w:r>
              <w:t xml:space="preserve">+7.8%</w:t>
            </w:r>
          </w:p>
        </w:tc>
        <w:tc>
          <w:tcPr/>
          <w:p>
            <w:pPr>
              <w:pStyle w:val="Compact"/>
              <w:jc w:val="center"/>
            </w:pPr>
            <w:r>
              <w:t xml:space="preserve">$6.75B</w:t>
            </w:r>
          </w:p>
        </w:tc>
        <w:tc>
          <w:tcPr/>
          <w:p>
            <w:pPr>
              <w:pStyle w:val="Compact"/>
              <w:jc w:val="center"/>
            </w:pPr>
            <w:r>
              <w:t xml:space="preserve">$5.38B</w:t>
            </w:r>
          </w:p>
        </w:tc>
        <w:tc>
          <w:tcPr/>
          <w:p>
            <w:pPr>
              <w:pStyle w:val="Compact"/>
              <w:jc w:val="center"/>
            </w:pPr>
            <w:r>
              <w:t xml:space="preserve">$3.84</w:t>
            </w:r>
          </w:p>
        </w:tc>
      </w:tr>
      <w:tr>
        <w:tc>
          <w:tcPr/>
          <w:p>
            <w:pPr>
              <w:pStyle w:val="Compact"/>
              <w:jc w:val="left"/>
            </w:pPr>
            <w:r>
              <w:rPr>
                <w:b/>
                <w:bCs/>
              </w:rPr>
              <w:t xml:space="preserve">FY2022</w:t>
            </w:r>
          </w:p>
        </w:tc>
        <w:tc>
          <w:tcPr/>
          <w:p>
            <w:pPr>
              <w:pStyle w:val="Compact"/>
              <w:jc w:val="center"/>
            </w:pPr>
            <w:r>
              <w:t xml:space="preserve">$226.95B</w:t>
            </w:r>
          </w:p>
        </w:tc>
        <w:tc>
          <w:tcPr/>
          <w:p>
            <w:pPr>
              <w:pStyle w:val="Compact"/>
              <w:jc w:val="center"/>
            </w:pPr>
            <w:r>
              <w:t xml:space="preserve">+15.8%</w:t>
            </w:r>
          </w:p>
        </w:tc>
        <w:tc>
          <w:tcPr/>
          <w:p>
            <w:pPr>
              <w:pStyle w:val="Compact"/>
              <w:jc w:val="center"/>
            </w:pPr>
            <w:r>
              <w:t xml:space="preserve">3.4%</w:t>
            </w:r>
          </w:p>
        </w:tc>
        <w:tc>
          <w:tcPr/>
          <w:p>
            <w:pPr>
              <w:pStyle w:val="Compact"/>
              <w:jc w:val="center"/>
            </w:pPr>
            <w:r>
              <w:t xml:space="preserve">2.6%</w:t>
            </w:r>
          </w:p>
        </w:tc>
        <w:tc>
          <w:tcPr/>
          <w:p>
            <w:pPr>
              <w:pStyle w:val="Compact"/>
              <w:jc w:val="center"/>
            </w:pPr>
            <w:r>
              <w:t xml:space="preserve">$13.14</w:t>
            </w:r>
          </w:p>
        </w:tc>
        <w:tc>
          <w:tcPr/>
          <w:p>
            <w:pPr>
              <w:pStyle w:val="Compact"/>
              <w:jc w:val="center"/>
            </w:pPr>
            <w:r>
              <w:t xml:space="preserve">+16.6%</w:t>
            </w:r>
          </w:p>
        </w:tc>
        <w:tc>
          <w:tcPr/>
          <w:p>
            <w:pPr>
              <w:pStyle w:val="Compact"/>
              <w:jc w:val="center"/>
            </w:pPr>
            <w:r>
              <w:t xml:space="preserve">$3.50B</w:t>
            </w:r>
          </w:p>
        </w:tc>
        <w:tc>
          <w:tcPr/>
          <w:p>
            <w:pPr>
              <w:pStyle w:val="Compact"/>
              <w:jc w:val="center"/>
            </w:pPr>
            <w:r>
              <w:t xml:space="preserve">$6.48B</w:t>
            </w:r>
          </w:p>
        </w:tc>
        <w:tc>
          <w:tcPr/>
          <w:p>
            <w:pPr>
              <w:pStyle w:val="Compact"/>
              <w:jc w:val="center"/>
            </w:pPr>
            <w:r>
              <w:rPr>
                <w:i/>
                <w:iCs/>
              </w:rPr>
              <w:t xml:space="preserve">null</w:t>
            </w:r>
          </w:p>
        </w:tc>
      </w:tr>
      <w:tr>
        <w:tc>
          <w:tcPr/>
          <w:p>
            <w:pPr>
              <w:pStyle w:val="Compact"/>
              <w:jc w:val="left"/>
            </w:pPr>
            <w:r>
              <w:rPr>
                <w:b/>
                <w:bCs/>
              </w:rPr>
              <w:t xml:space="preserve">FY2021</w:t>
            </w:r>
          </w:p>
        </w:tc>
        <w:tc>
          <w:tcPr/>
          <w:p>
            <w:pPr>
              <w:pStyle w:val="Compact"/>
              <w:jc w:val="center"/>
            </w:pPr>
            <w:r>
              <w:t xml:space="preserve">$195.93B</w:t>
            </w:r>
          </w:p>
        </w:tc>
        <w:tc>
          <w:tcPr/>
          <w:p>
            <w:pPr>
              <w:pStyle w:val="Compact"/>
              <w:jc w:val="center"/>
            </w:pPr>
            <w:r>
              <w:t xml:space="preserve">+17.5%</w:t>
            </w:r>
          </w:p>
        </w:tc>
        <w:tc>
          <w:tcPr/>
          <w:p>
            <w:pPr>
              <w:pStyle w:val="Compact"/>
              <w:jc w:val="center"/>
            </w:pPr>
            <w:r>
              <w:t xml:space="preserve">3.4%</w:t>
            </w:r>
          </w:p>
        </w:tc>
        <w:tc>
          <w:tcPr/>
          <w:p>
            <w:pPr>
              <w:pStyle w:val="Compact"/>
              <w:jc w:val="center"/>
            </w:pPr>
            <w:r>
              <w:t xml:space="preserve">2.6%</w:t>
            </w:r>
          </w:p>
        </w:tc>
        <w:tc>
          <w:tcPr/>
          <w:p>
            <w:pPr>
              <w:pStyle w:val="Compact"/>
              <w:jc w:val="center"/>
            </w:pPr>
            <w:r>
              <w:t xml:space="preserve">$11.27</w:t>
            </w:r>
          </w:p>
        </w:tc>
        <w:tc>
          <w:tcPr/>
          <w:p>
            <w:pPr>
              <w:pStyle w:val="Compact"/>
              <w:jc w:val="center"/>
            </w:pPr>
            <w:r>
              <w:t xml:space="preserve">+24.9%</w:t>
            </w:r>
          </w:p>
        </w:tc>
        <w:tc>
          <w:tcPr/>
          <w:p>
            <w:pPr>
              <w:pStyle w:val="Compact"/>
              <w:jc w:val="center"/>
            </w:pPr>
            <w:r>
              <w:t xml:space="preserve">$5.37B</w:t>
            </w:r>
          </w:p>
        </w:tc>
        <w:tc>
          <w:tcPr/>
          <w:p>
            <w:pPr>
              <w:pStyle w:val="Compact"/>
              <w:jc w:val="center"/>
            </w:pPr>
            <w:r>
              <w:t xml:space="preserve">$6.69B</w:t>
            </w:r>
          </w:p>
        </w:tc>
        <w:tc>
          <w:tcPr/>
          <w:p>
            <w:pPr>
              <w:pStyle w:val="Compact"/>
              <w:jc w:val="center"/>
            </w:pPr>
            <w:r>
              <w:rPr>
                <w:i/>
                <w:iCs/>
              </w:rPr>
              <w:t xml:space="preserve">null</w:t>
            </w:r>
          </w:p>
        </w:tc>
      </w:tr>
      <w:tr>
        <w:tc>
          <w:tcPr/>
          <w:p>
            <w:pPr>
              <w:pStyle w:val="Compact"/>
              <w:jc w:val="left"/>
            </w:pPr>
            <w:r>
              <w:rPr>
                <w:b/>
                <w:bCs/>
              </w:rPr>
              <w:t xml:space="preserve">FY2020</w:t>
            </w:r>
          </w:p>
        </w:tc>
        <w:tc>
          <w:tcPr/>
          <w:p>
            <w:pPr>
              <w:pStyle w:val="Compact"/>
              <w:jc w:val="center"/>
            </w:pPr>
            <w:r>
              <w:t xml:space="preserve">$166.76B</w:t>
            </w:r>
          </w:p>
        </w:tc>
        <w:tc>
          <w:tcPr/>
          <w:p>
            <w:pPr>
              <w:pStyle w:val="Compact"/>
              <w:jc w:val="center"/>
            </w:pPr>
            <w:r>
              <w:t xml:space="preserve">+9.2%</w:t>
            </w:r>
          </w:p>
        </w:tc>
        <w:tc>
          <w:tcPr/>
          <w:p>
            <w:pPr>
              <w:pStyle w:val="Compact"/>
              <w:jc w:val="center"/>
            </w:pPr>
            <w:r>
              <w:t xml:space="preserve">3.3%</w:t>
            </w:r>
          </w:p>
        </w:tc>
        <w:tc>
          <w:tcPr/>
          <w:p>
            <w:pPr>
              <w:pStyle w:val="Compact"/>
              <w:jc w:val="center"/>
            </w:pPr>
            <w:r>
              <w:t xml:space="preserve">2.4%</w:t>
            </w:r>
          </w:p>
        </w:tc>
        <w:tc>
          <w:tcPr/>
          <w:p>
            <w:pPr>
              <w:pStyle w:val="Compact"/>
              <w:jc w:val="center"/>
            </w:pPr>
            <w:r>
              <w:t xml:space="preserve">$9.02</w:t>
            </w:r>
          </w:p>
        </w:tc>
        <w:tc>
          <w:tcPr/>
          <w:p>
            <w:pPr>
              <w:pStyle w:val="Compact"/>
              <w:jc w:val="center"/>
            </w:pPr>
            <w:r>
              <w:t xml:space="preserve">+9.2%</w:t>
            </w:r>
          </w:p>
        </w:tc>
        <w:tc>
          <w:tcPr/>
          <w:p>
            <w:pPr>
              <w:pStyle w:val="Compact"/>
              <w:jc w:val="center"/>
            </w:pPr>
            <w:r>
              <w:t xml:space="preserve">$6.05B</w:t>
            </w:r>
          </w:p>
        </w:tc>
        <w:tc>
          <w:tcPr/>
          <w:p>
            <w:pPr>
              <w:pStyle w:val="Compact"/>
              <w:jc w:val="center"/>
            </w:pPr>
            <w:r>
              <w:t xml:space="preserve">$7.51B</w:t>
            </w:r>
          </w:p>
        </w:tc>
        <w:tc>
          <w:tcPr/>
          <w:p>
            <w:pPr>
              <w:pStyle w:val="Compact"/>
              <w:jc w:val="center"/>
            </w:pPr>
            <w:r>
              <w:rPr>
                <w:i/>
                <w:iCs/>
              </w:rPr>
              <w:t xml:space="preserve">null</w:t>
            </w:r>
          </w:p>
        </w:tc>
      </w:tr>
      <w:tr>
        <w:tc>
          <w:tcPr/>
          <w:p>
            <w:pPr>
              <w:pStyle w:val="Compact"/>
              <w:jc w:val="left"/>
            </w:pPr>
            <w:r>
              <w:rPr>
                <w:b/>
                <w:bCs/>
              </w:rPr>
              <w:t xml:space="preserve">FY2019</w:t>
            </w:r>
          </w:p>
        </w:tc>
        <w:tc>
          <w:tcPr/>
          <w:p>
            <w:pPr>
              <w:pStyle w:val="Compact"/>
              <w:jc w:val="center"/>
            </w:pPr>
            <w:r>
              <w:t xml:space="preserve">$152.70B</w:t>
            </w:r>
          </w:p>
        </w:tc>
        <w:tc>
          <w:tcPr/>
          <w:p>
            <w:pPr>
              <w:pStyle w:val="Compact"/>
              <w:jc w:val="center"/>
            </w:pPr>
            <w:r>
              <w:t xml:space="preserve">+7.9%</w:t>
            </w:r>
          </w:p>
        </w:tc>
        <w:tc>
          <w:tcPr/>
          <w:p>
            <w:pPr>
              <w:pStyle w:val="Compact"/>
              <w:jc w:val="center"/>
            </w:pPr>
            <w:r>
              <w:t xml:space="preserve">3.1%</w:t>
            </w:r>
          </w:p>
        </w:tc>
        <w:tc>
          <w:tcPr/>
          <w:p>
            <w:pPr>
              <w:pStyle w:val="Compact"/>
              <w:jc w:val="center"/>
            </w:pPr>
            <w:r>
              <w:t xml:space="preserve">2.4%</w:t>
            </w:r>
          </w:p>
        </w:tc>
        <w:tc>
          <w:tcPr/>
          <w:p>
            <w:pPr>
              <w:pStyle w:val="Compact"/>
              <w:jc w:val="center"/>
            </w:pPr>
            <w:r>
              <w:t xml:space="preserve">$8.26</w:t>
            </w:r>
          </w:p>
        </w:tc>
        <w:tc>
          <w:tcPr/>
          <w:p>
            <w:pPr>
              <w:pStyle w:val="Compact"/>
              <w:jc w:val="center"/>
            </w:pPr>
            <w:r>
              <w:t xml:space="preserve">+16.5%</w:t>
            </w:r>
          </w:p>
        </w:tc>
        <w:tc>
          <w:tcPr/>
          <w:p>
            <w:pPr>
              <w:pStyle w:val="Compact"/>
              <w:jc w:val="center"/>
            </w:pPr>
            <w:r>
              <w:t xml:space="preserve">$3.36B</w:t>
            </w:r>
          </w:p>
        </w:tc>
        <w:tc>
          <w:tcPr/>
          <w:p>
            <w:pPr>
              <w:pStyle w:val="Compact"/>
              <w:jc w:val="center"/>
            </w:pPr>
            <w:r>
              <w:t xml:space="preserve">$5.12B</w:t>
            </w:r>
          </w:p>
        </w:tc>
        <w:tc>
          <w:tcPr/>
          <w:p>
            <w:pPr>
              <w:pStyle w:val="Compact"/>
              <w:jc w:val="center"/>
            </w:pPr>
            <w:r>
              <w:t xml:space="preserve">$2.44</w:t>
            </w:r>
          </w:p>
        </w:tc>
      </w:tr>
      <w:tr>
        <w:tc>
          <w:tcPr/>
          <w:p>
            <w:pPr>
              <w:pStyle w:val="Compact"/>
              <w:jc w:val="left"/>
            </w:pPr>
            <w:r>
              <w:rPr>
                <w:b/>
                <w:bCs/>
              </w:rPr>
              <w:t xml:space="preserve">FY2018</w:t>
            </w:r>
          </w:p>
        </w:tc>
        <w:tc>
          <w:tcPr/>
          <w:p>
            <w:pPr>
              <w:pStyle w:val="Compact"/>
              <w:jc w:val="center"/>
            </w:pPr>
            <w:r>
              <w:t xml:space="preserve">$141.58B</w:t>
            </w:r>
          </w:p>
        </w:tc>
        <w:tc>
          <w:tcPr/>
          <w:p>
            <w:pPr>
              <w:pStyle w:val="Compact"/>
              <w:jc w:val="center"/>
            </w:pPr>
            <w:r>
              <w:t xml:space="preserve">+9.7%</w:t>
            </w:r>
          </w:p>
        </w:tc>
        <w:tc>
          <w:tcPr/>
          <w:p>
            <w:pPr>
              <w:pStyle w:val="Compact"/>
              <w:jc w:val="center"/>
            </w:pPr>
            <w:r>
              <w:t xml:space="preserve">3.2%</w:t>
            </w:r>
          </w:p>
        </w:tc>
        <w:tc>
          <w:tcPr/>
          <w:p>
            <w:pPr>
              <w:pStyle w:val="Compact"/>
              <w:jc w:val="center"/>
            </w:pPr>
            <w:r>
              <w:t xml:space="preserve">2.2%</w:t>
            </w:r>
          </w:p>
        </w:tc>
        <w:tc>
          <w:tcPr/>
          <w:p>
            <w:pPr>
              <w:pStyle w:val="Compact"/>
              <w:jc w:val="center"/>
            </w:pPr>
            <w:r>
              <w:t xml:space="preserve">$7.09</w:t>
            </w:r>
          </w:p>
        </w:tc>
        <w:tc>
          <w:tcPr/>
          <w:p>
            <w:pPr>
              <w:pStyle w:val="Compact"/>
              <w:jc w:val="center"/>
            </w:pPr>
            <w:r>
              <w:t xml:space="preserve">+16.6%</w:t>
            </w:r>
          </w:p>
        </w:tc>
        <w:tc>
          <w:tcPr/>
          <w:p>
            <w:pPr>
              <w:pStyle w:val="Compact"/>
              <w:jc w:val="center"/>
            </w:pPr>
            <w:r>
              <w:t xml:space="preserve">$2.81B</w:t>
            </w:r>
          </w:p>
        </w:tc>
        <w:tc>
          <w:tcPr/>
          <w:p>
            <w:pPr>
              <w:pStyle w:val="Compact"/>
              <w:jc w:val="center"/>
            </w:pPr>
            <w:r>
              <w:t xml:space="preserve">$6.49B</w:t>
            </w:r>
          </w:p>
        </w:tc>
        <w:tc>
          <w:tcPr/>
          <w:p>
            <w:pPr>
              <w:pStyle w:val="Compact"/>
              <w:jc w:val="center"/>
            </w:pPr>
            <w:r>
              <w:t xml:space="preserve">$2.14</w:t>
            </w:r>
          </w:p>
        </w:tc>
      </w:tr>
      <w:tr>
        <w:tc>
          <w:tcPr/>
          <w:p>
            <w:pPr>
              <w:pStyle w:val="Compact"/>
              <w:jc w:val="left"/>
            </w:pPr>
            <w:r>
              <w:rPr>
                <w:b/>
                <w:bCs/>
              </w:rPr>
              <w:t xml:space="preserve">FY2017</w:t>
            </w:r>
          </w:p>
        </w:tc>
        <w:tc>
          <w:tcPr/>
          <w:p>
            <w:pPr>
              <w:pStyle w:val="Compact"/>
              <w:jc w:val="center"/>
            </w:pPr>
            <w:r>
              <w:t xml:space="preserve">$129.03B</w:t>
            </w:r>
          </w:p>
        </w:tc>
        <w:tc>
          <w:tcPr/>
          <w:p>
            <w:pPr>
              <w:pStyle w:val="Compact"/>
              <w:jc w:val="center"/>
            </w:pPr>
            <w:r>
              <w:t xml:space="preserve">+8.7%</w:t>
            </w:r>
          </w:p>
        </w:tc>
        <w:tc>
          <w:tcPr/>
          <w:p>
            <w:pPr>
              <w:pStyle w:val="Compact"/>
              <w:jc w:val="center"/>
            </w:pPr>
            <w:r>
              <w:t xml:space="preserve">3.2%</w:t>
            </w:r>
          </w:p>
        </w:tc>
        <w:tc>
          <w:tcPr/>
          <w:p>
            <w:pPr>
              <w:pStyle w:val="Compact"/>
              <w:jc w:val="center"/>
            </w:pPr>
            <w:r>
              <w:t xml:space="preserve">2.1%</w:t>
            </w:r>
          </w:p>
        </w:tc>
        <w:tc>
          <w:tcPr/>
          <w:p>
            <w:pPr>
              <w:pStyle w:val="Compact"/>
              <w:jc w:val="center"/>
            </w:pPr>
            <w:r>
              <w:t xml:space="preserve">$6.08</w:t>
            </w:r>
          </w:p>
        </w:tc>
        <w:tc>
          <w:tcPr/>
          <w:p>
            <w:pPr>
              <w:pStyle w:val="Compact"/>
              <w:jc w:val="center"/>
            </w:pPr>
            <w:r>
              <w:t xml:space="preserve">+14.1%</w:t>
            </w:r>
          </w:p>
        </w:tc>
        <w:tc>
          <w:tcPr/>
          <w:p>
            <w:pPr>
              <w:pStyle w:val="Compact"/>
              <w:jc w:val="center"/>
            </w:pPr>
            <w:r>
              <w:t xml:space="preserve">$4.22B</w:t>
            </w:r>
          </w:p>
        </w:tc>
        <w:tc>
          <w:tcPr/>
          <w:p>
            <w:pPr>
              <w:pStyle w:val="Compact"/>
              <w:jc w:val="center"/>
            </w:pPr>
            <w:r>
              <w:t xml:space="preserve">$6.57B</w:t>
            </w:r>
          </w:p>
        </w:tc>
        <w:tc>
          <w:tcPr/>
          <w:p>
            <w:pPr>
              <w:pStyle w:val="Compact"/>
              <w:jc w:val="center"/>
            </w:pPr>
            <w:r>
              <w:t xml:space="preserve">$8.90**</w:t>
            </w:r>
          </w:p>
        </w:tc>
      </w:tr>
      <w:tr>
        <w:tc>
          <w:tcPr/>
          <w:p>
            <w:pPr>
              <w:pStyle w:val="Compact"/>
              <w:jc w:val="left"/>
            </w:pPr>
            <w:r>
              <w:rPr>
                <w:b/>
                <w:bCs/>
              </w:rPr>
              <w:t xml:space="preserve">FY2016</w:t>
            </w:r>
          </w:p>
        </w:tc>
        <w:tc>
          <w:tcPr/>
          <w:p>
            <w:pPr>
              <w:pStyle w:val="Compact"/>
              <w:jc w:val="center"/>
            </w:pPr>
            <w:r>
              <w:t xml:space="preserve">$118.72B</w:t>
            </w:r>
          </w:p>
        </w:tc>
        <w:tc>
          <w:tcPr/>
          <w:p>
            <w:pPr>
              <w:pStyle w:val="Compact"/>
              <w:jc w:val="center"/>
            </w:pPr>
            <w:r>
              <w:t xml:space="preserve">+2.2%</w:t>
            </w:r>
          </w:p>
        </w:tc>
        <w:tc>
          <w:tcPr/>
          <w:p>
            <w:pPr>
              <w:pStyle w:val="Compact"/>
              <w:jc w:val="center"/>
            </w:pPr>
            <w:r>
              <w:t xml:space="preserve">3.1%</w:t>
            </w:r>
          </w:p>
        </w:tc>
        <w:tc>
          <w:tcPr/>
          <w:p>
            <w:pPr>
              <w:pStyle w:val="Compact"/>
              <w:jc w:val="center"/>
            </w:pPr>
            <w:r>
              <w:t xml:space="preserve">2.0%</w:t>
            </w:r>
          </w:p>
        </w:tc>
        <w:tc>
          <w:tcPr/>
          <w:p>
            <w:pPr>
              <w:pStyle w:val="Compact"/>
              <w:jc w:val="center"/>
            </w:pPr>
            <w:r>
              <w:t xml:space="preserve">$5.33</w:t>
            </w:r>
          </w:p>
        </w:tc>
        <w:tc>
          <w:tcPr/>
          <w:p>
            <w:pPr>
              <w:pStyle w:val="Compact"/>
              <w:jc w:val="center"/>
            </w:pPr>
            <w:r>
              <w:t xml:space="preserve">-0.7%</w:t>
            </w:r>
          </w:p>
        </w:tc>
        <w:tc>
          <w:tcPr/>
          <w:p>
            <w:pPr>
              <w:pStyle w:val="Compact"/>
              <w:jc w:val="center"/>
            </w:pPr>
            <w:r>
              <w:rPr>
                <w:i/>
                <w:iCs/>
              </w:rPr>
              <w:t xml:space="preserve">null</w:t>
            </w:r>
          </w:p>
        </w:tc>
        <w:tc>
          <w:tcPr/>
          <w:p>
            <w:pPr>
              <w:pStyle w:val="Compact"/>
              <w:jc w:val="center"/>
            </w:pPr>
            <w:r>
              <w:t xml:space="preserve">$4.06B</w:t>
            </w:r>
          </w:p>
        </w:tc>
        <w:tc>
          <w:tcPr/>
          <w:p>
            <w:pPr>
              <w:pStyle w:val="Compact"/>
              <w:jc w:val="center"/>
            </w:pPr>
            <w:r>
              <w:t xml:space="preserve">$1.70</w:t>
            </w:r>
          </w:p>
        </w:tc>
      </w:tr>
    </w:tbl>
    <w:p>
      <w:pPr>
        <w:pStyle w:val="BodyText"/>
      </w:pPr>
      <w:r>
        <w:rPr>
          <w:i/>
          <w:iCs/>
        </w:rPr>
        <w:t xml:space="preserve">*Long-term debt figures represent non-current portions as reported on the balance sheet. In FY2026, an additional $2.25B was classified under current liabilities.</w:t>
      </w:r>
      <w:r>
        <w:br/>
      </w:r>
      <w:r>
        <w:rPr>
          <w:i/>
          <w:iCs/>
        </w:rPr>
        <w:t xml:space="preserve">**FY2024 and FY2017 dividend figures reflect special dividends ($15.00/share paid in FY2024 and $7.00/share paid in FY2017).</w:t>
      </w:r>
      <w:r>
        <w:br/>
      </w:r>
      <w:r>
        <w:rPr>
          <w:i/>
          <w:iCs/>
        </w:rPr>
        <w:t xml:space="preserve">(Note: Stock price, P/E, and other valuation multiples are covered by the data analyst and are not tracked in EDGAR filings.)</w:t>
      </w:r>
    </w:p>
    <w:p>
      <w:pPr>
        <w:pStyle w:val="BodyText"/>
      </w:pPr>
      <w:r>
        <w:rPr>
          <w:b/>
          <w:bCs/>
        </w:rPr>
        <w:t xml:space="preserve">Trend Interpretation:</w:t>
      </w:r>
      <w:r>
        <w:br/>
      </w:r>
      <w:r>
        <w:t xml:space="preserve">Over the 10-year span, Costco has compounded revenue from $118.72B to $303.15B while gradually improving operating margins from ~3.1% to ~3.9% and net margins from 2.0% to 3.0%. Diluted EPS grew nearly fourfold from $5.33 in FY2016 to $20.76 in FY2026. Cash generation consistently outpaces net income, with FY2026 operating cash flow reaching $15.83B and free cash flow reaching $9.39B, enabling aggressive warehouse expansion and routine dividend growth alongside occasional special distributions while maintaining an enviable net-cash position.</w:t>
      </w:r>
    </w:p>
    <w:p>
      <w:r>
        <w:pict>
          <v:rect style="width:0;height:1.5pt" o:hralign="center" o:hrstd="t" o:hr="t"/>
        </w:pict>
      </w:r>
    </w:p>
    <w:bookmarkEnd w:id="21"/>
    <w:bookmarkStart w:id="22" w:name="X249671153da5482a550d7675023b8e4f28ab459"/>
    <w:p>
      <w:pPr>
        <w:pStyle w:val="Heading3"/>
      </w:pPr>
      <w:r>
        <w:t xml:space="preserve">3. Latest Quarter &amp; Earnings Release (Q4 &amp; FY2026 ended August 30, 2026)</w:t>
      </w:r>
    </w:p>
    <w:p>
      <w:pPr>
        <w:pStyle w:val="FirstParagraph"/>
      </w:pPr>
      <w:r>
        <w:t xml:space="preserve">From the Item 2.02 Form 8-K filed on September 24, 2026:</w:t>
      </w:r>
      <w:r>
        <w:t xml:space="preserve"> </w:t>
      </w:r>
      <w:r>
        <w:t xml:space="preserve">*</w:t>
      </w:r>
      <w:r>
        <w:t xml:space="preserve"> </w:t>
      </w:r>
      <w:r>
        <w:rPr>
          <w:b/>
          <w:bCs/>
        </w:rPr>
        <w:t xml:space="preserve">Headline Financials:</w:t>
      </w:r>
      <w:r>
        <w:t xml:space="preserve"> </w:t>
      </w:r>
      <w:r>
        <w:t xml:space="preserve">*</w:t>
      </w:r>
      <w:r>
        <w:t xml:space="preserve"> </w:t>
      </w:r>
      <w:r>
        <w:rPr>
          <w:b/>
          <w:bCs/>
        </w:rPr>
        <w:t xml:space="preserve">16-Week Q4 Revenue:</w:t>
      </w:r>
      <w:r>
        <w:t xml:space="preserve"> </w:t>
      </w:r>
      <w:r>
        <w:t xml:space="preserve">Net sales increased 11.2% to $93.87B (vs. $84.43B in Q4 FY25). Membership fees rose 7.3% to $1.85B. Total Q4 revenue reached $95.72B.</w:t>
      </w:r>
      <w:r>
        <w:t xml:space="preserve"> </w:t>
      </w:r>
      <w:r>
        <w:t xml:space="preserve">*</w:t>
      </w:r>
      <w:r>
        <w:t xml:space="preserve"> </w:t>
      </w:r>
      <w:r>
        <w:rPr>
          <w:b/>
          <w:bCs/>
        </w:rPr>
        <w:t xml:space="preserve">Q4 Net Income &amp; EPS:</w:t>
      </w:r>
      <w:r>
        <w:t xml:space="preserve"> </w:t>
      </w:r>
      <w:r>
        <w:t xml:space="preserve">Net income was $2.998B ($6.75 per diluted share), compared to $2.610B ($5.87 per diluted share) in Q4 FY2025.</w:t>
      </w:r>
      <w:r>
        <w:t xml:space="preserve"> </w:t>
      </w:r>
      <w:r>
        <w:t xml:space="preserve">*</w:t>
      </w:r>
      <w:r>
        <w:t xml:space="preserve"> </w:t>
      </w:r>
      <w:r>
        <w:rPr>
          <w:b/>
          <w:bCs/>
        </w:rPr>
        <w:t xml:space="preserve">Non-Recurring Item:</w:t>
      </w:r>
      <w:r>
        <w:t xml:space="preserve"> </w:t>
      </w:r>
      <w:r>
        <w:t xml:space="preserve">Q4 FY2026 net income included a net non-recurring benefit of $0.15 per diluted share from IEEPA tariff refunds received during the quarter, less partial reinvestment into member value pricing.</w:t>
      </w:r>
      <w:r>
        <w:t xml:space="preserve"> </w:t>
      </w:r>
      <w:r>
        <w:t xml:space="preserve">*</w:t>
      </w:r>
      <w:r>
        <w:t xml:space="preserve"> </w:t>
      </w:r>
      <w:r>
        <w:rPr>
          <w:b/>
          <w:bCs/>
        </w:rPr>
        <w:t xml:space="preserve">Comparable Sales Performance (Q4 16 Weeks):</w:t>
      </w:r>
      <w:r>
        <w:t xml:space="preserve"> </w:t>
      </w:r>
      <w:r>
        <w:t xml:space="preserve">* Total Company: +9.4% (Adjusted for gas and FX: +6.7%)</w:t>
      </w:r>
      <w:r>
        <w:t xml:space="preserve"> </w:t>
      </w:r>
      <w:r>
        <w:t xml:space="preserve">* U.S.: +10.7% (Adjusted: +7.2%)</w:t>
      </w:r>
      <w:r>
        <w:t xml:space="preserve"> </w:t>
      </w:r>
      <w:r>
        <w:t xml:space="preserve">* Canada: +5.0% (Adjusted: +4.6%)</w:t>
      </w:r>
      <w:r>
        <w:t xml:space="preserve"> </w:t>
      </w:r>
      <w:r>
        <w:t xml:space="preserve">* Other International: +7.0% (Adjusted: +6.2%)</w:t>
      </w:r>
      <w:r>
        <w:t xml:space="preserve"> </w:t>
      </w:r>
      <w:r>
        <w:t xml:space="preserve">* Digitally-Enabled: +19.5% (Adjusted: +19.8%)</w:t>
      </w:r>
      <w:r>
        <w:t xml:space="preserve"> </w:t>
      </w:r>
      <w:r>
        <w:t xml:space="preserve">*</w:t>
      </w:r>
      <w:r>
        <w:t xml:space="preserve"> </w:t>
      </w:r>
      <w:r>
        <w:rPr>
          <w:b/>
          <w:bCs/>
        </w:rPr>
        <w:t xml:space="preserve">Warehouse Footprint:</w:t>
      </w:r>
      <w:r>
        <w:t xml:space="preserve"> </w:t>
      </w:r>
      <w:r>
        <w:t xml:space="preserve">Total operational warehouses reached 939 as of August 30, 2026 (647 U.S. &amp; Puerto Rico, 115 Canada, 43 Mexico, 37 Japan, 29 U.K., 20 Korea, 15 Australia, 14 Taiwan, 7 China, 5 Spain, 3 France, 2 Sweden, 1 Iceland, 1 New Zealand).</w:t>
      </w:r>
    </w:p>
    <w:p>
      <w:r>
        <w:pict>
          <v:rect style="width:0;height:1.5pt" o:hralign="center" o:hrstd="t" o:hr="t"/>
        </w:pict>
      </w:r>
    </w:p>
    <w:bookmarkEnd w:id="22"/>
    <w:bookmarkStart w:id="23" w:name="insider-activity"/>
    <w:p>
      <w:pPr>
        <w:pStyle w:val="Heading3"/>
      </w:pPr>
      <w:r>
        <w:t xml:space="preserve">4. Insider Activity</w:t>
      </w:r>
    </w:p>
    <w:p>
      <w:pPr>
        <w:pStyle w:val="FirstParagraph"/>
      </w:pPr>
      <w:r>
        <w:t xml:space="preserve">Across the last 20 Form 4 filings reviewed:</w:t>
      </w:r>
      <w:r>
        <w:t xml:space="preserve"> </w:t>
      </w:r>
      <w:r>
        <w:t xml:space="preserve">*</w:t>
      </w:r>
      <w:r>
        <w:t xml:space="preserve"> </w:t>
      </w:r>
      <w:r>
        <w:rPr>
          <w:b/>
          <w:bCs/>
        </w:rPr>
        <w:t xml:space="preserve">Open-Market Purchases:</w:t>
      </w:r>
      <w:r>
        <w:t xml:space="preserve"> </w:t>
      </w:r>
      <w:r>
        <w:rPr>
          <w:b/>
          <w:bCs/>
        </w:rPr>
        <w:t xml:space="preserve">$0</w:t>
      </w:r>
      <w:r>
        <w:t xml:space="preserve"> </w:t>
      </w:r>
      <w:r>
        <w:t xml:space="preserve">*</w:t>
      </w:r>
      <w:r>
        <w:t xml:space="preserve"> </w:t>
      </w:r>
      <w:r>
        <w:rPr>
          <w:b/>
          <w:bCs/>
        </w:rPr>
        <w:t xml:space="preserve">Open-Market Sales:</w:t>
      </w:r>
      <w:r>
        <w:t xml:space="preserve"> </w:t>
      </w:r>
      <w:r>
        <w:rPr>
          <w:b/>
          <w:bCs/>
        </w:rPr>
        <w:t xml:space="preserve">$6,333,338.99</w:t>
      </w:r>
      <w:r>
        <w:t xml:space="preserve"> </w:t>
      </w:r>
      <w:r>
        <w:t xml:space="preserve">(~$6.33M)</w:t>
      </w:r>
      <w:r>
        <w:t xml:space="preserve"> </w:t>
      </w:r>
      <w:r>
        <w:t xml:space="preserve">*</w:t>
      </w:r>
      <w:r>
        <w:t xml:space="preserve"> </w:t>
      </w:r>
      <w:r>
        <w:rPr>
          <w:b/>
          <w:bCs/>
        </w:rPr>
        <w:t xml:space="preserve">Key Transactions:</w:t>
      </w:r>
      <w:r>
        <w:t xml:space="preserve"> </w:t>
      </w:r>
      <w:r>
        <w:t xml:space="preserve">*</w:t>
      </w:r>
      <w:r>
        <w:t xml:space="preserve"> </w:t>
      </w:r>
      <w:r>
        <w:rPr>
          <w:b/>
          <w:bCs/>
        </w:rPr>
        <w:t xml:space="preserve">James C. Klauer (EVP):</w:t>
      </w:r>
      <w:r>
        <w:t xml:space="preserve"> </w:t>
      </w:r>
      <w:r>
        <w:t xml:space="preserve">Sold 1,500 shares at $939.00 on 2026-01-14 ($1.41M).</w:t>
      </w:r>
      <w:r>
        <w:t xml:space="preserve"> </w:t>
      </w:r>
      <w:r>
        <w:t xml:space="preserve">*</w:t>
      </w:r>
      <w:r>
        <w:t xml:space="preserve"> </w:t>
      </w:r>
      <w:r>
        <w:rPr>
          <w:b/>
          <w:bCs/>
        </w:rPr>
        <w:t xml:space="preserve">Russell D. Miller (Sr. EVP):</w:t>
      </w:r>
      <w:r>
        <w:t xml:space="preserve"> </w:t>
      </w:r>
      <w:r>
        <w:t xml:space="preserve">Sold 1,500 shares at $916.32 on 2026-01-09 ($1.37M).</w:t>
      </w:r>
      <w:r>
        <w:t xml:space="preserve"> </w:t>
      </w:r>
      <w:r>
        <w:t xml:space="preserve">*</w:t>
      </w:r>
      <w:r>
        <w:t xml:space="preserve"> </w:t>
      </w:r>
      <w:r>
        <w:rPr>
          <w:b/>
          <w:bCs/>
        </w:rPr>
        <w:t xml:space="preserve">Kenneth D. Denman (Director):</w:t>
      </w:r>
      <w:r>
        <w:t xml:space="preserve"> </w:t>
      </w:r>
      <w:r>
        <w:t xml:space="preserve">Sold 885 shares at $957.45 on 2026-06-23 ($847K).</w:t>
      </w:r>
      <w:r>
        <w:t xml:space="preserve"> </w:t>
      </w:r>
      <w:r>
        <w:t xml:space="preserve">*</w:t>
      </w:r>
      <w:r>
        <w:t xml:space="preserve"> </w:t>
      </w:r>
      <w:r>
        <w:rPr>
          <w:b/>
          <w:bCs/>
        </w:rPr>
        <w:t xml:space="preserve">Teresa A. Jones (EVP):</w:t>
      </w:r>
      <w:r>
        <w:t xml:space="preserve"> </w:t>
      </w:r>
      <w:r>
        <w:t xml:space="preserve">Sold 850 shares at $986.26 on 2026-01-21 ($838K).</w:t>
      </w:r>
      <w:r>
        <w:t xml:space="preserve"> </w:t>
      </w:r>
      <w:r>
        <w:t xml:space="preserve">*</w:t>
      </w:r>
      <w:r>
        <w:t xml:space="preserve"> </w:t>
      </w:r>
      <w:r>
        <w:rPr>
          <w:b/>
          <w:bCs/>
        </w:rPr>
        <w:t xml:space="preserve">Claudine Adamo (EVP):</w:t>
      </w:r>
      <w:r>
        <w:t xml:space="preserve"> </w:t>
      </w:r>
      <w:r>
        <w:t xml:space="preserve">Sold 730 shares at $1,003.02 on 2026-03-09 ($732K).</w:t>
      </w:r>
      <w:r>
        <w:t xml:space="preserve"> </w:t>
      </w:r>
      <w:r>
        <w:t xml:space="preserve">*</w:t>
      </w:r>
      <w:r>
        <w:t xml:space="preserve"> </w:t>
      </w:r>
      <w:r>
        <w:rPr>
          <w:b/>
          <w:bCs/>
        </w:rPr>
        <w:t xml:space="preserve">Caton Frates (EVP):</w:t>
      </w:r>
      <w:r>
        <w:t xml:space="preserve"> </w:t>
      </w:r>
      <w:r>
        <w:t xml:space="preserve">Sold 700 shares at $993.00 on 2026-04-01 ($695K).</w:t>
      </w:r>
      <w:r>
        <w:t xml:space="preserve"> </w:t>
      </w:r>
      <w:r>
        <w:t xml:space="preserve">*</w:t>
      </w:r>
      <w:r>
        <w:t xml:space="preserve"> </w:t>
      </w:r>
      <w:r>
        <w:rPr>
          <w:b/>
          <w:bCs/>
        </w:rPr>
        <w:t xml:space="preserve">Susan L. Decker (Director):</w:t>
      </w:r>
      <w:r>
        <w:t xml:space="preserve"> </w:t>
      </w:r>
      <w:r>
        <w:t xml:space="preserve">Sold 458 shares at $955.00 on 2026-01-16 ($437K).</w:t>
      </w:r>
      <w:r>
        <w:t xml:space="preserve"> </w:t>
      </w:r>
      <w:r>
        <w:t xml:space="preserve">* Form 4 filings do not indicate these sales were executed under pre-scheduled Rule 10b5-1 trading plans (</w:t>
      </w:r>
      <w:r>
        <w:rPr>
          <w:rStyle w:val="VerbatimChar"/>
        </w:rPr>
        <w:t xml:space="preserve">under_10b5_1_plan: false</w:t>
      </w:r>
      <w:r>
        <w:t xml:space="preserve">).</w:t>
      </w:r>
      <w:r>
        <w:t xml:space="preserve"> </w:t>
      </w:r>
      <w:r>
        <w:t xml:space="preserve">*</w:t>
      </w:r>
      <w:r>
        <w:t xml:space="preserve"> </w:t>
      </w:r>
      <w:r>
        <w:rPr>
          <w:b/>
          <w:bCs/>
        </w:rPr>
        <w:t xml:space="preserve">Routine Activity:</w:t>
      </w:r>
      <w:r>
        <w:t xml:space="preserve"> </w:t>
      </w:r>
      <w:r>
        <w:t xml:space="preserve">Routine equity compensation awards and associated tax withholding dispositions occurred in September 2026 for executive leadership, as well as bona fide gift transfers by directors and officers.</w:t>
      </w:r>
      <w:r>
        <w:t xml:space="preserve"> </w:t>
      </w:r>
      <w:r>
        <w:t xml:space="preserve">*</w:t>
      </w:r>
      <w:r>
        <w:t xml:space="preserve"> </w:t>
      </w:r>
      <w:r>
        <w:rPr>
          <w:b/>
          <w:bCs/>
        </w:rPr>
        <w:t xml:space="preserve">Interpretation:</w:t>
      </w:r>
      <w:r>
        <w:t xml:space="preserve"> </w:t>
      </w:r>
      <w:r>
        <w:t xml:space="preserve">Insiders exhibited modest, periodic open-market profit-taking at share prices exceeding $900–$1,000, with zero open-market insider buying.</w:t>
      </w:r>
    </w:p>
    <w:p>
      <w:r>
        <w:pict>
          <v:rect style="width:0;height:1.5pt" o:hralign="center" o:hrstd="t" o:hr="t"/>
        </w:pict>
      </w:r>
    </w:p>
    <w:bookmarkEnd w:id="23"/>
    <w:bookmarkStart w:id="24" w:name="company-specific-risk-factors"/>
    <w:p>
      <w:pPr>
        <w:pStyle w:val="Heading3"/>
      </w:pPr>
      <w:r>
        <w:t xml:space="preserve">5. Company-Specific Risk Factors</w:t>
      </w:r>
    </w:p>
    <w:p>
      <w:pPr>
        <w:pStyle w:val="FirstParagraph"/>
      </w:pPr>
      <w:r>
        <w:rPr>
          <w:i/>
          <w:iCs/>
        </w:rPr>
        <w:t xml:space="preserve">(Derived from the cautionary forward-looking disclosures in Costco’s Form 8-K filings; note that EDGAR automated extraction of the 10-K risk factor item encountered a document formatting parsing limitation)</w:t>
      </w:r>
      <w:r>
        <w:t xml:space="preserve">:</w:t>
      </w:r>
    </w:p>
    <w:p>
      <w:pPr>
        <w:pStyle w:val="Compact"/>
        <w:numPr>
          <w:ilvl w:val="0"/>
          <w:numId w:val="1028"/>
        </w:numPr>
      </w:pPr>
      <w:r>
        <w:rPr>
          <w:b/>
          <w:bCs/>
        </w:rPr>
        <w:t xml:space="preserve">Reliance on the Membership Model and Renewal Rates:</w:t>
      </w:r>
      <w:r>
        <w:t xml:space="preserve"> </w:t>
      </w:r>
      <w:r>
        <w:t xml:space="preserve">Costco’s operating profit is disproportionately reliant on recurring membership fees ($5.91B in FY2026). Any material drop in membership retention, renewal rates, or member satisfaction could directly degrade operating margins.</w:t>
      </w:r>
    </w:p>
    <w:p>
      <w:pPr>
        <w:pStyle w:val="Compact"/>
        <w:numPr>
          <w:ilvl w:val="0"/>
          <w:numId w:val="1028"/>
        </w:numPr>
      </w:pPr>
      <w:r>
        <w:rPr>
          <w:b/>
          <w:bCs/>
        </w:rPr>
        <w:t xml:space="preserve">Supply Chain Concentration and Vendor Relations:</w:t>
      </w:r>
      <w:r>
        <w:t xml:space="preserve"> </w:t>
      </w:r>
      <w:r>
        <w:t xml:space="preserve">The company depends on purchasing high volumes of merchandise from limited numbers of vendors at advantageous terms. Disruptions in global freight, agricultural and commodity availability, or vendor terms can directly pinch merchandise margins.</w:t>
      </w:r>
    </w:p>
    <w:p>
      <w:pPr>
        <w:pStyle w:val="Compact"/>
        <w:numPr>
          <w:ilvl w:val="0"/>
          <w:numId w:val="1028"/>
        </w:numPr>
      </w:pPr>
      <w:r>
        <w:rPr>
          <w:b/>
          <w:bCs/>
        </w:rPr>
        <w:t xml:space="preserve">Workforce and Labor Cost Pressures:</w:t>
      </w:r>
      <w:r>
        <w:t xml:space="preserve"> </w:t>
      </w:r>
      <w:r>
        <w:t xml:space="preserve">With an expansive global hourly retail and logistics workforce, Costco is sensitive to rising entry-level wages, employee healthcare expenses, and potential localized workforce interruptions.</w:t>
      </w:r>
    </w:p>
    <w:p>
      <w:pPr>
        <w:pStyle w:val="Compact"/>
        <w:numPr>
          <w:ilvl w:val="0"/>
          <w:numId w:val="1028"/>
        </w:numPr>
      </w:pPr>
      <w:r>
        <w:rPr>
          <w:b/>
          <w:bCs/>
        </w:rPr>
        <w:t xml:space="preserve">Geopolitical Exposure and Tariffs:</w:t>
      </w:r>
      <w:r>
        <w:t xml:space="preserve"> </w:t>
      </w:r>
      <w:r>
        <w:t xml:space="preserve">Operating across 14 international markets exposes Costco to cross-border tariff changes, trade conflicts, and currency fluctuations (as evidenced by the material IEEPA tariff refunds reported in Q4 FY2026).</w:t>
      </w:r>
    </w:p>
    <w:p>
      <w:pPr>
        <w:pStyle w:val="Compact"/>
        <w:numPr>
          <w:ilvl w:val="0"/>
          <w:numId w:val="1028"/>
        </w:numPr>
      </w:pPr>
      <w:r>
        <w:rPr>
          <w:b/>
          <w:bCs/>
        </w:rPr>
        <w:t xml:space="preserve">Cybersecurity and Member Data Privacy:</w:t>
      </w:r>
      <w:r>
        <w:t xml:space="preserve"> </w:t>
      </w:r>
      <w:r>
        <w:t xml:space="preserve">Costco processes massive consumer transaction volumes across warehouses and expanding digital channels; breaches of member data, payment systems, or IT infrastructure present operational, regulatory, and reputational hazards.</w:t>
      </w:r>
    </w:p>
    <w:p>
      <w:r>
        <w:pict>
          <v:rect style="width:0;height:1.5pt" o:hralign="center" o:hrstd="t" o:hr="t"/>
        </w:pict>
      </w:r>
    </w:p>
    <w:bookmarkEnd w:id="24"/>
    <w:bookmarkStart w:id="25" w:name="managements-discussion-highlights"/>
    <w:p>
      <w:pPr>
        <w:pStyle w:val="Heading3"/>
      </w:pPr>
      <w:r>
        <w:t xml:space="preserve">6. Management’s Discussion Highlights</w:t>
      </w:r>
    </w:p>
    <w:p>
      <w:pPr>
        <w:pStyle w:val="Compact"/>
        <w:numPr>
          <w:ilvl w:val="0"/>
          <w:numId w:val="1029"/>
        </w:numPr>
      </w:pPr>
      <w:r>
        <w:rPr>
          <w:b/>
          <w:bCs/>
        </w:rPr>
        <w:t xml:space="preserve">Pricing Philosophy and Margin Structure:</w:t>
      </w:r>
      <w:r>
        <w:t xml:space="preserve"> </w:t>
      </w:r>
      <w:r>
        <w:t xml:space="preserve">Management continues to operate Costco on a high-volume, low-gross-margin philosophy. Operating income is substantially supported by membership fee income ($5.91B in FY2026 vs. $11.69B total operating income), allowing Costco to pass merchandising efficiencies back to members to drive warehouse traffic.</w:t>
      </w:r>
    </w:p>
    <w:p>
      <w:pPr>
        <w:pStyle w:val="Compact"/>
        <w:numPr>
          <w:ilvl w:val="0"/>
          <w:numId w:val="1029"/>
        </w:numPr>
      </w:pPr>
      <w:r>
        <w:rPr>
          <w:b/>
          <w:bCs/>
        </w:rPr>
        <w:t xml:space="preserve">Capital Allocation:</w:t>
      </w:r>
    </w:p>
    <w:p>
      <w:pPr>
        <w:pStyle w:val="Compact"/>
        <w:numPr>
          <w:ilvl w:val="1"/>
          <w:numId w:val="1030"/>
        </w:numPr>
      </w:pPr>
      <w:r>
        <w:rPr>
          <w:b/>
          <w:bCs/>
        </w:rPr>
        <w:t xml:space="preserve">Capital Expenditures:</w:t>
      </w:r>
      <w:r>
        <w:t xml:space="preserve"> </w:t>
      </w:r>
      <w:r>
        <w:t xml:space="preserve">Net additions to property and equipment increased to $6.44B in FY2026 (from $5.50B in FY2025 and $4.71B in FY2024), directed toward new warehouse openings, logistics depots, and expanding digital capabilities.</w:t>
      </w:r>
    </w:p>
    <w:p>
      <w:pPr>
        <w:pStyle w:val="Compact"/>
        <w:numPr>
          <w:ilvl w:val="1"/>
          <w:numId w:val="1030"/>
        </w:numPr>
      </w:pPr>
      <w:r>
        <w:rPr>
          <w:b/>
          <w:bCs/>
        </w:rPr>
        <w:t xml:space="preserve">Share Repurchases:</w:t>
      </w:r>
      <w:r>
        <w:t xml:space="preserve"> </w:t>
      </w:r>
      <w:r>
        <w:t xml:space="preserve">Repurchased $848M of common stock in FY2026 ($903M in FY2025), primarily offsetting employee equity dilution.</w:t>
      </w:r>
    </w:p>
    <w:p>
      <w:pPr>
        <w:pStyle w:val="Compact"/>
        <w:numPr>
          <w:ilvl w:val="1"/>
          <w:numId w:val="1030"/>
        </w:numPr>
      </w:pPr>
      <w:r>
        <w:rPr>
          <w:b/>
          <w:bCs/>
        </w:rPr>
        <w:t xml:space="preserve">Cash Dividends:</w:t>
      </w:r>
      <w:r>
        <w:t xml:space="preserve"> </w:t>
      </w:r>
      <w:r>
        <w:t xml:space="preserve">Paid $2.46B in cash dividends in FY2026, maintaining regular quarterly dividend increases.</w:t>
      </w:r>
    </w:p>
    <w:p>
      <w:pPr>
        <w:pStyle w:val="Compact"/>
        <w:numPr>
          <w:ilvl w:val="0"/>
          <w:numId w:val="1029"/>
        </w:numPr>
      </w:pPr>
      <w:r>
        <w:rPr>
          <w:b/>
          <w:bCs/>
        </w:rPr>
        <w:t xml:space="preserve">Working Capital Dynamics:</w:t>
      </w:r>
      <w:r>
        <w:t xml:space="preserve"> </w:t>
      </w:r>
      <w:r>
        <w:t xml:space="preserve">Operating cash flow reached $15.83B in FY2026, benefiting from an efficient negative working capital cycle where inventory ($19.32B) turns rapidly and is largely funded by accounts payable ($22.59B).</w:t>
      </w:r>
    </w:p>
    <w:p>
      <w:r>
        <w:pict>
          <v:rect style="width:0;height:1.5pt" o:hralign="center" o:hrstd="t" o:hr="t"/>
        </w:pict>
      </w:r>
    </w:p>
    <w:bookmarkEnd w:id="25"/>
    <w:bookmarkStart w:id="26" w:name="recent-material-events"/>
    <w:p>
      <w:pPr>
        <w:pStyle w:val="Heading3"/>
      </w:pPr>
      <w:r>
        <w:t xml:space="preserve">7. Recent Material Events</w:t>
      </w:r>
    </w:p>
    <w:p>
      <w:pPr>
        <w:pStyle w:val="Compact"/>
        <w:numPr>
          <w:ilvl w:val="0"/>
          <w:numId w:val="1031"/>
        </w:numPr>
      </w:pPr>
      <w:r>
        <w:rPr>
          <w:b/>
          <w:bCs/>
        </w:rPr>
        <w:t xml:space="preserve">September 24, 2026 (Form 8-K):</w:t>
      </w:r>
      <w:r>
        <w:t xml:space="preserve"> </w:t>
      </w:r>
      <w:r>
        <w:t xml:space="preserve">Reported fourth quarter and full fiscal year 2026 operating results; announced net income of $9.23B ($20.76/diluted share) and 939 operating warehouses.</w:t>
      </w:r>
    </w:p>
    <w:p>
      <w:pPr>
        <w:pStyle w:val="Compact"/>
        <w:numPr>
          <w:ilvl w:val="0"/>
          <w:numId w:val="1031"/>
        </w:numPr>
      </w:pPr>
      <w:r>
        <w:rPr>
          <w:b/>
          <w:bCs/>
        </w:rPr>
        <w:t xml:space="preserve">July 8, 2026 &amp; April 15, 2026 (Forms 8-K):</w:t>
      </w:r>
      <w:r>
        <w:t xml:space="preserve"> </w:t>
      </w:r>
      <w:r>
        <w:t xml:space="preserve">Filed Item 8.01 Other Events covering operational updates and periodic corporate announcements.</w:t>
      </w:r>
    </w:p>
    <w:p>
      <w:pPr>
        <w:pStyle w:val="Compact"/>
        <w:numPr>
          <w:ilvl w:val="0"/>
          <w:numId w:val="1031"/>
        </w:numPr>
      </w:pPr>
      <w:r>
        <w:rPr>
          <w:b/>
          <w:bCs/>
        </w:rPr>
        <w:t xml:space="preserve">January 21, 2026 (Form 8-K):</w:t>
      </w:r>
      <w:r>
        <w:t xml:space="preserve"> </w:t>
      </w:r>
      <w:r>
        <w:t xml:space="preserve">Disclosed results of the Annual Meeting of Shareholders (Item 5.07), where director elections and executive compensation proposals were approved.</w:t>
      </w:r>
    </w:p>
    <w:p>
      <w:pPr>
        <w:pStyle w:val="Compact"/>
        <w:numPr>
          <w:ilvl w:val="0"/>
          <w:numId w:val="1031"/>
        </w:numPr>
      </w:pPr>
      <w:r>
        <w:rPr>
          <w:b/>
          <w:bCs/>
        </w:rPr>
        <w:t xml:space="preserve">October 20, 2025 (Form 8-K):</w:t>
      </w:r>
      <w:r>
        <w:t xml:space="preserve"> </w:t>
      </w:r>
      <w:r>
        <w:t xml:space="preserve">Reported executive officer and director changes and compensation determinations (Item 5.02).</w:t>
      </w:r>
    </w:p>
    <w:p>
      <w:r>
        <w:pict>
          <v:rect style="width:0;height:1.5pt" o:hralign="center" o:hrstd="t" o:hr="t"/>
        </w:pict>
      </w:r>
    </w:p>
    <w:bookmarkEnd w:id="26"/>
    <w:bookmarkStart w:id="32" w:name="sources"/>
    <w:p>
      <w:pPr>
        <w:pStyle w:val="Heading3"/>
      </w:pPr>
      <w:r>
        <w:t xml:space="preserve">8. Sources</w:t>
      </w:r>
    </w:p>
    <w:p>
      <w:pPr>
        <w:pStyle w:val="Compact"/>
        <w:numPr>
          <w:ilvl w:val="0"/>
          <w:numId w:val="1032"/>
        </w:numPr>
      </w:pPr>
      <w:r>
        <w:rPr>
          <w:b/>
          <w:bCs/>
        </w:rPr>
        <w:t xml:space="preserve">Form 8-K (Earnings Release - Q4 &amp; FY2026):</w:t>
      </w:r>
      <w:r>
        <w:t xml:space="preserve"> </w:t>
      </w:r>
      <w:r>
        <w:t xml:space="preserve">Filed September 24, 2026</w:t>
      </w:r>
      <w:r>
        <w:br/>
      </w:r>
      <w:hyperlink r:id="rId27">
        <w:r>
          <w:rPr>
            <w:rStyle w:val="Hyperlink"/>
          </w:rPr>
          <w:t xml:space="preserve">https://www.sec.gov/Archives/edgar/data/909832/000090983226000084/costex9918-k92426.htm</w:t>
        </w:r>
      </w:hyperlink>
    </w:p>
    <w:p>
      <w:pPr>
        <w:pStyle w:val="Compact"/>
        <w:numPr>
          <w:ilvl w:val="0"/>
          <w:numId w:val="1032"/>
        </w:numPr>
      </w:pPr>
      <w:r>
        <w:rPr>
          <w:b/>
          <w:bCs/>
        </w:rPr>
        <w:t xml:space="preserve">Form 10-Q (Third Quarter FY2026):</w:t>
      </w:r>
      <w:r>
        <w:t xml:space="preserve"> </w:t>
      </w:r>
      <w:r>
        <w:t xml:space="preserve">Period ended May 10, 2026, filed June 3, 2026</w:t>
      </w:r>
      <w:r>
        <w:br/>
      </w:r>
      <w:hyperlink r:id="rId28">
        <w:r>
          <w:rPr>
            <w:rStyle w:val="Hyperlink"/>
          </w:rPr>
          <w:t xml:space="preserve">https://www.sec.gov/Archives/edgar/data/909832/000090983226000051/cost-20260510.htm</w:t>
        </w:r>
      </w:hyperlink>
    </w:p>
    <w:p>
      <w:pPr>
        <w:pStyle w:val="Compact"/>
        <w:numPr>
          <w:ilvl w:val="0"/>
          <w:numId w:val="1032"/>
        </w:numPr>
      </w:pPr>
      <w:r>
        <w:rPr>
          <w:b/>
          <w:bCs/>
        </w:rPr>
        <w:t xml:space="preserve">Form 10-K (Annual Report FY2025):</w:t>
      </w:r>
      <w:r>
        <w:t xml:space="preserve"> </w:t>
      </w:r>
      <w:r>
        <w:t xml:space="preserve">Period ended August 31, 2025</w:t>
      </w:r>
      <w:r>
        <w:br/>
      </w:r>
      <w:hyperlink r:id="rId29">
        <w:r>
          <w:rPr>
            <w:rStyle w:val="Hyperlink"/>
          </w:rPr>
          <w:t xml:space="preserve">https://www.sec.gov/Archives/edgar/data/909832/000090983225000101/cost-20250831.htm</w:t>
        </w:r>
      </w:hyperlink>
    </w:p>
    <w:p>
      <w:pPr>
        <w:pStyle w:val="Compact"/>
        <w:numPr>
          <w:ilvl w:val="0"/>
          <w:numId w:val="1032"/>
        </w:numPr>
      </w:pPr>
      <w:r>
        <w:rPr>
          <w:b/>
          <w:bCs/>
        </w:rPr>
        <w:t xml:space="preserve">SEC XBRL Financial History API:</w:t>
      </w:r>
      <w:r>
        <w:t xml:space="preserve"> </w:t>
      </w:r>
      <w:r>
        <w:t xml:space="preserve">CIK 0000909832</w:t>
      </w:r>
      <w:r>
        <w:br/>
      </w:r>
      <w:hyperlink r:id="rId30">
        <w:r>
          <w:rPr>
            <w:rStyle w:val="Hyperlink"/>
          </w:rPr>
          <w:t xml:space="preserve">https://data.sec.gov/api/xbrl/companyfacts/CIK0000909832.json</w:t>
        </w:r>
      </w:hyperlink>
    </w:p>
    <w:p>
      <w:pPr>
        <w:pStyle w:val="Compact"/>
        <w:numPr>
          <w:ilvl w:val="0"/>
          <w:numId w:val="1032"/>
        </w:numPr>
      </w:pPr>
      <w:r>
        <w:rPr>
          <w:b/>
          <w:bCs/>
        </w:rPr>
        <w:t xml:space="preserve">Forms 4 (Insider Transactions):</w:t>
      </w:r>
      <w:r>
        <w:t xml:space="preserve"> </w:t>
      </w:r>
      <w:r>
        <w:t xml:space="preserve">Filed between January 2026 and September 2026</w:t>
      </w:r>
      <w:r>
        <w:br/>
      </w:r>
      <w:hyperlink r:id="rId31">
        <w:r>
          <w:rPr>
            <w:rStyle w:val="Hyperlink"/>
          </w:rPr>
          <w:t xml:space="preserve">https://www.sec.gov/edgar/browse/?CIK=0000909832</w:t>
        </w:r>
      </w:hyperlink>
    </w:p>
    <w:p>
      <w:r>
        <w:br w:type="page"/>
      </w:r>
    </w:p>
    <w:bookmarkEnd w:id="32"/>
    <w:bookmarkEnd w:id="33"/>
    <w:bookmarkStart w:id="46" w:name="Xd5a26c46ed0debe8cc125cbfdd0b9157f86dd97"/>
    <w:p>
      <w:pPr>
        <w:pStyle w:val="Heading1"/>
      </w:pPr>
      <w:r>
        <w:t xml:space="preserve">Appendix B: Market &amp; Valuation Analysis (Gemini market analyst, Google Search)</w:t>
      </w:r>
    </w:p>
    <w:p>
      <w:pPr>
        <w:pStyle w:val="FirstParagraph"/>
      </w:pPr>
      <w:r>
        <w:rPr>
          <w:b/>
          <w:bCs/>
        </w:rPr>
        <w:t xml:space="preserve">Market Analysis Report for: COST</w:t>
      </w:r>
    </w:p>
    <w:p>
      <w:pPr>
        <w:pStyle w:val="BodyText"/>
      </w:pPr>
      <w:r>
        <w:rPr>
          <w:b/>
          <w:bCs/>
        </w:rPr>
        <w:t xml:space="preserve">Report Date:</w:t>
      </w:r>
      <w:r>
        <w:t xml:space="preserve"> </w:t>
      </w:r>
      <w:r>
        <w:t xml:space="preserve">September 29, 2026</w:t>
      </w:r>
      <w:r>
        <w:br/>
      </w:r>
      <w:r>
        <w:rPr>
          <w:b/>
          <w:bCs/>
        </w:rPr>
        <w:t xml:space="preserve">Information Freshness Target:</w:t>
      </w:r>
      <w:r>
        <w:t xml:space="preserve"> </w:t>
      </w:r>
      <w:r>
        <w:t xml:space="preserve">Data primarily from the last 30 days.</w:t>
      </w:r>
      <w:r>
        <w:br/>
      </w:r>
      <w:r>
        <w:rPr>
          <w:b/>
          <w:bCs/>
        </w:rPr>
        <w:t xml:space="preserve">Number of Unique Primary Sources Consulted:</w:t>
      </w:r>
      <w:r>
        <w:t xml:space="preserve"> </w:t>
      </w:r>
      <w:r>
        <w:t xml:space="preserve">10</w:t>
      </w:r>
    </w:p>
    <w:p>
      <w:r>
        <w:pict>
          <v:rect style="width:0;height:1.5pt" o:hralign="center" o:hrstd="t" o:hr="t"/>
        </w:pict>
      </w:r>
    </w:p>
    <w:bookmarkStart w:id="34" w:name="executive-summary"/>
    <w:p>
      <w:pPr>
        <w:pStyle w:val="Heading3"/>
      </w:pPr>
      <w:r>
        <w:t xml:space="preserve">1. Executive Summary</w:t>
      </w:r>
    </w:p>
    <w:p>
      <w:pPr>
        <w:pStyle w:val="Compact"/>
        <w:numPr>
          <w:ilvl w:val="0"/>
          <w:numId w:val="1033"/>
        </w:numPr>
      </w:pPr>
      <w:r>
        <w:rPr>
          <w:b/>
          <w:bCs/>
        </w:rPr>
        <w:t xml:space="preserve">Strong Fiscal 2026 Performance with Top- and Bottom-Line Beats:</w:t>
      </w:r>
      <w:r>
        <w:t xml:space="preserve"> </w:t>
      </w:r>
      <w:r>
        <w:t xml:space="preserve">Costco reported its Q4 and full-year FY2026 operating results on September 24, 2026, delivering Q4 revenue of $95.72B (net sales up 11.2% to $93.87B) and diluted EPS of $6.75, beating Wall Street consensus ($6.52–$6.54). Full-year total revenue surpassed $303.15B with EPS growing 14.0% to $20.76.</w:t>
      </w:r>
    </w:p>
    <w:p>
      <w:pPr>
        <w:pStyle w:val="Compact"/>
        <w:numPr>
          <w:ilvl w:val="0"/>
          <w:numId w:val="1033"/>
        </w:numPr>
      </w:pPr>
      <w:r>
        <w:rPr>
          <w:b/>
          <w:bCs/>
        </w:rPr>
        <w:t xml:space="preserve">Premium Valuation Persisting Near Historical Highs:</w:t>
      </w:r>
      <w:r>
        <w:t xml:space="preserve"> </w:t>
      </w:r>
      <w:r>
        <w:t xml:space="preserve">Trading around $922–$923 per share, Costco commands a trailing P/E of ~44.5x and a forward P/E of ~39x–42x. While down from its peak of ~62x in early 2025, it trades at a 17% premium to its 10-year historical median (38.0x) and more than double direct warehouse and discount peers (BJ at ~21x, TGT at ~16x, WMT at ~39x).</w:t>
      </w:r>
    </w:p>
    <w:p>
      <w:pPr>
        <w:pStyle w:val="Compact"/>
        <w:numPr>
          <w:ilvl w:val="0"/>
          <w:numId w:val="1033"/>
        </w:numPr>
      </w:pPr>
      <w:r>
        <w:rPr>
          <w:b/>
          <w:bCs/>
        </w:rPr>
        <w:t xml:space="preserve">Analyst Stance – Constructive with Target Trims:</w:t>
      </w:r>
      <w:r>
        <w:t xml:space="preserve"> </w:t>
      </w:r>
      <w:r>
        <w:t xml:space="preserve">Consensus remains a</w:t>
      </w:r>
      <w:r>
        <w:t xml:space="preserve"> </w:t>
      </w:r>
      <w:r>
        <w:t xml:space="preserve">“Moderate Buy”</w:t>
      </w:r>
      <w:r>
        <w:t xml:space="preserve"> </w:t>
      </w:r>
      <w:r>
        <w:t xml:space="preserve">/</w:t>
      </w:r>
      <w:r>
        <w:t xml:space="preserve"> </w:t>
      </w:r>
      <w:r>
        <w:t xml:space="preserve">“Buy”</w:t>
      </w:r>
      <w:r>
        <w:t xml:space="preserve"> </w:t>
      </w:r>
      <w:r>
        <w:t xml:space="preserve">with an average 12-month target of $1,048–$1,088 (~14%–18% implied upside). However, following Q4 earnings, at least eight major brokerages (e.g., Wells Fargo, Truist, Raymond James, Mizuho) trimmed their price targets. The primary concerns cited were slowing membership household additions (+3.8% YoY) and memory/electronics cost inflation driving a $152M LIFO inventory charge.</w:t>
      </w:r>
    </w:p>
    <w:p>
      <w:pPr>
        <w:pStyle w:val="Compact"/>
        <w:numPr>
          <w:ilvl w:val="0"/>
          <w:numId w:val="1033"/>
        </w:numPr>
      </w:pPr>
      <w:r>
        <w:rPr>
          <w:b/>
          <w:bCs/>
        </w:rPr>
        <w:t xml:space="preserve">Secular Moat and Digital Momentum:</w:t>
      </w:r>
      <w:r>
        <w:t xml:space="preserve"> </w:t>
      </w:r>
      <w:r>
        <w:t xml:space="preserve">Costco’s operational flywheel remains intact, anchored by record 92.3% membership renewal rates in the U.S. and Canada, 84.1M paid members, and digitally enabled comparable sales surging 19.5% in Q4 (surpassing $33B annually) aided by expanded partnerships with DoorDash and Uber.</w:t>
      </w:r>
    </w:p>
    <w:p>
      <w:pPr>
        <w:pStyle w:val="Compact"/>
        <w:numPr>
          <w:ilvl w:val="0"/>
          <w:numId w:val="1033"/>
        </w:numPr>
      </w:pPr>
      <w:r>
        <w:rPr>
          <w:b/>
          <w:bCs/>
        </w:rPr>
        <w:t xml:space="preserve">Balance Sheet Resilience:</w:t>
      </w:r>
      <w:r>
        <w:t xml:space="preserve"> </w:t>
      </w:r>
      <w:r>
        <w:t xml:space="preserve">Costco closed FY2026 with $20.21B in cash and short-term investments of $1.09B against $6.16B in total debt, providing exceptional capital allocation flexibility and support for warehouse expansion and future special dividends.</w:t>
      </w:r>
    </w:p>
    <w:p>
      <w:r>
        <w:pict>
          <v:rect style="width:0;height:1.5pt" o:hralign="center" o:hrstd="t" o:hr="t"/>
        </w:pict>
      </w:r>
    </w:p>
    <w:bookmarkEnd w:id="34"/>
    <w:bookmarkStart w:id="36" w:name="price-valuation-snapshot"/>
    <w:p>
      <w:pPr>
        <w:pStyle w:val="Heading3"/>
      </w:pPr>
      <w:r>
        <w:t xml:space="preserve">2. Price &amp; Valuation Snapshot</w:t>
      </w:r>
    </w:p>
    <w:p>
      <w:pPr>
        <w:pStyle w:val="Compact"/>
        <w:numPr>
          <w:ilvl w:val="0"/>
          <w:numId w:val="1034"/>
        </w:numPr>
      </w:pPr>
      <w:r>
        <w:rPr>
          <w:b/>
          <w:bCs/>
        </w:rPr>
        <w:t xml:space="preserve">Current Share Price:</w:t>
      </w:r>
      <w:r>
        <w:t xml:space="preserve"> </w:t>
      </w:r>
      <w:r>
        <w:rPr>
          <w:b/>
          <w:bCs/>
        </w:rPr>
        <w:t xml:space="preserve">$921.99</w:t>
      </w:r>
      <w:r>
        <w:t xml:space="preserve"> </w:t>
      </w:r>
      <w:r>
        <w:t xml:space="preserve">(as of September 29, 2026 trading session; Robinhood / GuruFocus).</w:t>
      </w:r>
    </w:p>
    <w:p>
      <w:pPr>
        <w:pStyle w:val="Compact"/>
        <w:numPr>
          <w:ilvl w:val="0"/>
          <w:numId w:val="1034"/>
        </w:numPr>
      </w:pPr>
      <w:r>
        <w:rPr>
          <w:b/>
          <w:bCs/>
        </w:rPr>
        <w:t xml:space="preserve">52-Week Range:</w:t>
      </w:r>
      <w:r>
        <w:t xml:space="preserve"> </w:t>
      </w:r>
      <w:r>
        <w:rPr>
          <w:b/>
          <w:bCs/>
        </w:rPr>
        <w:t xml:space="preserve">$844.06 – $1,096.50</w:t>
      </w:r>
      <w:r>
        <w:t xml:space="preserve"> </w:t>
      </w:r>
      <w:r>
        <w:t xml:space="preserve">(reported September 29, 2026, Robinhood).</w:t>
      </w:r>
    </w:p>
    <w:p>
      <w:pPr>
        <w:pStyle w:val="Compact"/>
        <w:numPr>
          <w:ilvl w:val="0"/>
          <w:numId w:val="1034"/>
        </w:numPr>
      </w:pPr>
      <w:r>
        <w:rPr>
          <w:b/>
          <w:bCs/>
        </w:rPr>
        <w:t xml:space="preserve">Market Capitalization:</w:t>
      </w:r>
      <w:r>
        <w:t xml:space="preserve"> </w:t>
      </w:r>
      <w:r>
        <w:rPr>
          <w:b/>
          <w:bCs/>
        </w:rPr>
        <w:t xml:space="preserve">$409.30B</w:t>
      </w:r>
      <w:r>
        <w:t xml:space="preserve"> </w:t>
      </w:r>
      <w:r>
        <w:t xml:space="preserve">(based on 443.27M diluted shares, September 29, 2026; Robinhood / GuruFocus).</w:t>
      </w:r>
    </w:p>
    <w:p>
      <w:pPr>
        <w:pStyle w:val="Compact"/>
        <w:numPr>
          <w:ilvl w:val="0"/>
          <w:numId w:val="1034"/>
        </w:numPr>
      </w:pPr>
      <w:r>
        <w:rPr>
          <w:b/>
          <w:bCs/>
        </w:rPr>
        <w:t xml:space="preserve">Trailing P/E Ratio:</w:t>
      </w:r>
      <w:r>
        <w:t xml:space="preserve"> </w:t>
      </w:r>
      <w:r>
        <w:rPr>
          <w:b/>
          <w:bCs/>
        </w:rPr>
        <w:t xml:space="preserve">44.45x</w:t>
      </w:r>
      <w:r>
        <w:t xml:space="preserve"> </w:t>
      </w:r>
      <w:r>
        <w:t xml:space="preserve">(calculated on FY2026 statutory diluted EPS of $20.76; reported September 28–29, 2026, GuruFocus / Robinhood).</w:t>
      </w:r>
    </w:p>
    <w:p>
      <w:pPr>
        <w:pStyle w:val="Compact"/>
        <w:numPr>
          <w:ilvl w:val="0"/>
          <w:numId w:val="1034"/>
        </w:numPr>
      </w:pPr>
      <w:r>
        <w:rPr>
          <w:b/>
          <w:bCs/>
        </w:rPr>
        <w:t xml:space="preserve">Forward P/E Ratio:</w:t>
      </w:r>
      <w:r>
        <w:t xml:space="preserve"> </w:t>
      </w:r>
      <w:r>
        <w:rPr>
          <w:b/>
          <w:bCs/>
        </w:rPr>
        <w:t xml:space="preserve">39.3x – 42.4x</w:t>
      </w:r>
      <w:r>
        <w:t xml:space="preserve"> </w:t>
      </w:r>
      <w:r>
        <w:t xml:space="preserve">(based on FY2027 consensus EPS estimate of ~$22.78; FinanceCharts / Investing.com).</w:t>
      </w:r>
    </w:p>
    <w:p>
      <w:pPr>
        <w:pStyle w:val="Compact"/>
        <w:numPr>
          <w:ilvl w:val="0"/>
          <w:numId w:val="1034"/>
        </w:numPr>
      </w:pPr>
      <w:r>
        <w:rPr>
          <w:b/>
          <w:bCs/>
        </w:rPr>
        <w:t xml:space="preserve">Dividend Yield:</w:t>
      </w:r>
      <w:r>
        <w:t xml:space="preserve"> </w:t>
      </w:r>
      <w:r>
        <w:rPr>
          <w:b/>
          <w:bCs/>
        </w:rPr>
        <w:t xml:space="preserve">0.60% – 0.67%</w:t>
      </w:r>
      <w:r>
        <w:t xml:space="preserve"> </w:t>
      </w:r>
      <w:r>
        <w:t xml:space="preserve">(regular dividend run rate of ~$5.20/year annualized; Investing.com / Robinhood). Note: Does not account for periodic special dividends (such as the $15.00/share paid in FY2024).</w:t>
      </w:r>
    </w:p>
    <w:bookmarkStart w:id="35" w:name="valuation-context-vs.-history-and-peers"/>
    <w:p>
      <w:pPr>
        <w:pStyle w:val="Heading4"/>
      </w:pPr>
      <w:r>
        <w:t xml:space="preserve">Valuation Context vs. History and Peers:</w:t>
      </w:r>
    </w:p>
    <w:p>
      <w:pPr>
        <w:pStyle w:val="Compact"/>
        <w:numPr>
          <w:ilvl w:val="0"/>
          <w:numId w:val="1035"/>
        </w:numPr>
      </w:pPr>
      <w:r>
        <w:rPr>
          <w:b/>
          <w:bCs/>
        </w:rPr>
        <w:t xml:space="preserve">Costco’s Own History:</w:t>
      </w:r>
      <w:r>
        <w:t xml:space="preserve"> </w:t>
      </w:r>
      <w:r>
        <w:t xml:space="preserve">At ~44.5x trailing P/E, COST is trading 17% above its 10-year median P/E of 38.04x and 14% above its 10-year mean of 39.51x. It has, however, pulled back from its peak multi-year multiple of 62.4x reached in early 2025 and sits near its 2-year valuation low of ~43x.</w:t>
      </w:r>
    </w:p>
    <w:p>
      <w:pPr>
        <w:pStyle w:val="Compact"/>
        <w:numPr>
          <w:ilvl w:val="0"/>
          <w:numId w:val="1035"/>
        </w:numPr>
      </w:pPr>
      <w:r>
        <w:rPr>
          <w:b/>
          <w:bCs/>
        </w:rPr>
        <w:t xml:space="preserve">Peer Group Comparison:</w:t>
      </w:r>
    </w:p>
    <w:p>
      <w:pPr>
        <w:pStyle w:val="Compact"/>
        <w:numPr>
          <w:ilvl w:val="1"/>
          <w:numId w:val="1036"/>
        </w:numPr>
      </w:pPr>
      <w:r>
        <w:rPr>
          <w:b/>
          <w:bCs/>
        </w:rPr>
        <w:t xml:space="preserve">Walmart (WMT):</w:t>
      </w:r>
      <w:r>
        <w:t xml:space="preserve"> </w:t>
      </w:r>
      <w:r>
        <w:t xml:space="preserve">Trailing P/E ~38.8x–39.0x | Forward P/E ~37.2x | ROE: 23.4%</w:t>
      </w:r>
    </w:p>
    <w:p>
      <w:pPr>
        <w:pStyle w:val="Compact"/>
        <w:numPr>
          <w:ilvl w:val="1"/>
          <w:numId w:val="1036"/>
        </w:numPr>
      </w:pPr>
      <w:r>
        <w:rPr>
          <w:b/>
          <w:bCs/>
        </w:rPr>
        <w:t xml:space="preserve">BJ’s Wholesale Club (BJ):</w:t>
      </w:r>
      <w:r>
        <w:t xml:space="preserve"> </w:t>
      </w:r>
      <w:r>
        <w:t xml:space="preserve">Trailing P/E ~20.5x | Forward P/E ~21.2x</w:t>
      </w:r>
    </w:p>
    <w:p>
      <w:pPr>
        <w:pStyle w:val="Compact"/>
        <w:numPr>
          <w:ilvl w:val="1"/>
          <w:numId w:val="1036"/>
        </w:numPr>
      </w:pPr>
      <w:r>
        <w:rPr>
          <w:b/>
          <w:bCs/>
        </w:rPr>
        <w:t xml:space="preserve">Target (TGT):</w:t>
      </w:r>
      <w:r>
        <w:t xml:space="preserve"> </w:t>
      </w:r>
      <w:r>
        <w:t xml:space="preserve">Trailing P/E ~16.3x–16.4x</w:t>
      </w:r>
    </w:p>
    <w:p>
      <w:pPr>
        <w:pStyle w:val="Compact"/>
        <w:numPr>
          <w:ilvl w:val="1"/>
          <w:numId w:val="1036"/>
        </w:numPr>
      </w:pPr>
      <w:r>
        <w:rPr>
          <w:b/>
          <w:bCs/>
        </w:rPr>
        <w:t xml:space="preserve">Kroger (KR):</w:t>
      </w:r>
      <w:r>
        <w:t xml:space="preserve"> </w:t>
      </w:r>
      <w:r>
        <w:t xml:space="preserve">Trailing P/E ~31.9x | Forward P/E ~11.0x | ROE: 14.3%</w:t>
      </w:r>
    </w:p>
    <w:p>
      <w:pPr>
        <w:pStyle w:val="Compact"/>
        <w:numPr>
          <w:ilvl w:val="1"/>
          <w:numId w:val="1036"/>
        </w:numPr>
      </w:pPr>
      <w:r>
        <w:rPr>
          <w:b/>
          <w:bCs/>
        </w:rPr>
        <w:t xml:space="preserve">Industry Defensive Retail Median:</w:t>
      </w:r>
      <w:r>
        <w:t xml:space="preserve"> </w:t>
      </w:r>
      <w:r>
        <w:t xml:space="preserve">~16.2x–17.9x</w:t>
      </w:r>
    </w:p>
    <w:p>
      <w:pPr>
        <w:pStyle w:val="Compact"/>
        <w:numPr>
          <w:ilvl w:val="0"/>
          <w:numId w:val="1035"/>
        </w:numPr>
      </w:pPr>
      <w:r>
        <w:rPr>
          <w:b/>
          <w:bCs/>
        </w:rPr>
        <w:t xml:space="preserve">Analytical Take:</w:t>
      </w:r>
      <w:r>
        <w:t xml:space="preserve"> </w:t>
      </w:r>
      <w:r>
        <w:t xml:space="preserve">Costco trades at an undeniable quality premium over the defensive retail sector (ranking more expensive than 86.8% of sector peers). However, its superior ROE (28.4%), negative cash conversion cycle, 92.3% renewal annuity, and clean balance sheet (D/E 24.0% vs WMT at 76.4% and KR at 413.2%) continue to support institutional willingness to pay above historical retail multiples.</w:t>
      </w:r>
    </w:p>
    <w:p>
      <w:r>
        <w:pict>
          <v:rect style="width:0;height:1.5pt" o:hralign="center" o:hrstd="t" o:hr="t"/>
        </w:pict>
      </w:r>
    </w:p>
    <w:bookmarkEnd w:id="35"/>
    <w:bookmarkEnd w:id="36"/>
    <w:bookmarkStart w:id="40" w:name="X9c3e8a9cb0195a452e91cb75574d11c98b4b7ee"/>
    <w:p>
      <w:pPr>
        <w:pStyle w:val="Heading3"/>
      </w:pPr>
      <w:r>
        <w:t xml:space="preserve">3. Recent News, Stock Performance Context &amp; Market Sentiment</w:t>
      </w:r>
    </w:p>
    <w:bookmarkStart w:id="37" w:name="significant-news"/>
    <w:p>
      <w:pPr>
        <w:pStyle w:val="Heading4"/>
      </w:pPr>
      <w:r>
        <w:t xml:space="preserve">Significant News:</w:t>
      </w:r>
    </w:p>
    <w:p>
      <w:pPr>
        <w:pStyle w:val="Compact"/>
        <w:numPr>
          <w:ilvl w:val="0"/>
          <w:numId w:val="1037"/>
        </w:numPr>
      </w:pPr>
      <w:r>
        <w:rPr>
          <w:b/>
          <w:bCs/>
        </w:rPr>
        <w:t xml:space="preserve">Q4 and FY2026 Earnings Release (Sept 24, 2026):</w:t>
      </w:r>
      <w:r>
        <w:t xml:space="preserve"> </w:t>
      </w:r>
      <w:r>
        <w:t xml:space="preserve">Net sales grew 11.2% to $93.87B for the 16-week quarter, and total revenue reached $95.72B. Adjusted comparable sales rose 6.7% company-wide (7.2% in the U.S.). Net income reached $2.998B ($6.75 EPS), which included a non-recurring benefit of $0.15/share from $184M in IEEPA tariff refunds net of reinvestments into member value.</w:t>
      </w:r>
    </w:p>
    <w:p>
      <w:pPr>
        <w:pStyle w:val="Compact"/>
        <w:numPr>
          <w:ilvl w:val="0"/>
          <w:numId w:val="1037"/>
        </w:numPr>
      </w:pPr>
      <w:r>
        <w:rPr>
          <w:b/>
          <w:bCs/>
        </w:rPr>
        <w:t xml:space="preserve">Delivery and Omnichannel Expansion:</w:t>
      </w:r>
      <w:r>
        <w:t xml:space="preserve"> </w:t>
      </w:r>
      <w:r>
        <w:t xml:space="preserve">Broadened partnerships with DoorDash (expanded nationwide delivery) and Uber, which drove digitally enabled sales growth of 19.5% in Q4 (and +20.9% for FY2026), reaching an annual run rate exceeding $33B.</w:t>
      </w:r>
    </w:p>
    <w:p>
      <w:pPr>
        <w:pStyle w:val="Compact"/>
        <w:numPr>
          <w:ilvl w:val="0"/>
          <w:numId w:val="1037"/>
        </w:numPr>
      </w:pPr>
      <w:r>
        <w:rPr>
          <w:b/>
          <w:bCs/>
        </w:rPr>
        <w:t xml:space="preserve">Warehouse Growth:</w:t>
      </w:r>
      <w:r>
        <w:t xml:space="preserve"> </w:t>
      </w:r>
      <w:r>
        <w:t xml:space="preserve">Operational footprint expanded to 939 warehouses across 14 countries, adding new units primarily as infill to relieve high-traffic stores in existing markets.</w:t>
      </w:r>
    </w:p>
    <w:p>
      <w:pPr>
        <w:pStyle w:val="Compact"/>
        <w:numPr>
          <w:ilvl w:val="0"/>
          <w:numId w:val="1037"/>
        </w:numPr>
      </w:pPr>
      <w:r>
        <w:rPr>
          <w:b/>
          <w:bCs/>
        </w:rPr>
        <w:t xml:space="preserve">LIFO Inventory Impact:</w:t>
      </w:r>
      <w:r>
        <w:t xml:space="preserve"> </w:t>
      </w:r>
      <w:r>
        <w:t xml:space="preserve">A $152M LIFO inventory charge was incurred in Q4, primarily driven by cost inflation in tech hardware and memory components.</w:t>
      </w:r>
    </w:p>
    <w:p>
      <w:pPr>
        <w:pStyle w:val="Compact"/>
        <w:numPr>
          <w:ilvl w:val="0"/>
          <w:numId w:val="1037"/>
        </w:numPr>
      </w:pPr>
      <w:r>
        <w:rPr>
          <w:b/>
          <w:bCs/>
        </w:rPr>
        <w:t xml:space="preserve">Insider Transactions:</w:t>
      </w:r>
      <w:r>
        <w:t xml:space="preserve"> </w:t>
      </w:r>
      <w:r>
        <w:t xml:space="preserve">Form 4 filings from executive officers and directors across 2026 reflected routine equity tax withholding and modest open-market profit-taking (~$6.33M in sales at prices between $916 and $1,003), with zero open-market insider purchases.</w:t>
      </w:r>
    </w:p>
    <w:bookmarkEnd w:id="37"/>
    <w:bookmarkStart w:id="38" w:name="stock-performance-context"/>
    <w:p>
      <w:pPr>
        <w:pStyle w:val="Heading4"/>
      </w:pPr>
      <w:r>
        <w:t xml:space="preserve">Stock Performance Context:</w:t>
      </w:r>
    </w:p>
    <w:p>
      <w:pPr>
        <w:pStyle w:val="Compact"/>
        <w:numPr>
          <w:ilvl w:val="0"/>
          <w:numId w:val="1038"/>
        </w:numPr>
      </w:pPr>
      <w:r>
        <w:t xml:space="preserve">Heading into the September 24 earnings print, COST was hovering near an 8-month low around $888–$895, underperforming the broader S&amp;P 500 across Q3.</w:t>
      </w:r>
    </w:p>
    <w:p>
      <w:pPr>
        <w:pStyle w:val="Compact"/>
        <w:numPr>
          <w:ilvl w:val="0"/>
          <w:numId w:val="1038"/>
        </w:numPr>
      </w:pPr>
      <w:r>
        <w:t xml:space="preserve">Following the earnings beat and subsequent analyst revisions, shares rallied 2.93% on Friday, September 25, closing at $922.77, marking the stock’s best weekly performance since May 2026. The stock currently trades steadily around $922–$923.</w:t>
      </w:r>
    </w:p>
    <w:bookmarkEnd w:id="38"/>
    <w:bookmarkStart w:id="39" w:name="market-sentiment"/>
    <w:p>
      <w:pPr>
        <w:pStyle w:val="Heading4"/>
      </w:pPr>
      <w:r>
        <w:t xml:space="preserve">Market Sentiment:</w:t>
      </w:r>
    </w:p>
    <w:p>
      <w:pPr>
        <w:pStyle w:val="Compact"/>
        <w:numPr>
          <w:ilvl w:val="0"/>
          <w:numId w:val="1039"/>
        </w:numPr>
      </w:pPr>
      <w:r>
        <w:rPr>
          <w:b/>
          <w:bCs/>
        </w:rPr>
        <w:t xml:space="preserve">Predominant Sentiment: Moderately Bullish / Selective Quality Defensive.</w:t>
      </w:r>
    </w:p>
    <w:p>
      <w:pPr>
        <w:pStyle w:val="Compact"/>
        <w:numPr>
          <w:ilvl w:val="0"/>
          <w:numId w:val="1039"/>
        </w:numPr>
      </w:pPr>
      <w:r>
        <w:t xml:space="preserve">Institutional backing remains formidable (held by 104 hedge funds with $11.6B in total value as of mid-2026). The market responded constructively to Costco’s traffic and pricing power, but investors are balancing this against the multiple compressions seen across consumer staples and signs of normalizing membership growth.</w:t>
      </w:r>
    </w:p>
    <w:p>
      <w:r>
        <w:pict>
          <v:rect style="width:0;height:1.5pt" o:hralign="center" o:hrstd="t" o:hr="t"/>
        </w:pict>
      </w:r>
    </w:p>
    <w:bookmarkEnd w:id="39"/>
    <w:bookmarkEnd w:id="40"/>
    <w:bookmarkStart w:id="41" w:name="recent-analyst-commentary-outlook"/>
    <w:p>
      <w:pPr>
        <w:pStyle w:val="Heading3"/>
      </w:pPr>
      <w:r>
        <w:t xml:space="preserve">4. Recent Analyst Commentary &amp; Outlook</w:t>
      </w:r>
    </w:p>
    <w:p>
      <w:pPr>
        <w:pStyle w:val="FirstParagraph"/>
      </w:pPr>
      <w:r>
        <w:t xml:space="preserve">Following the September 24, 2026 earnings report, analyst consensus consolidated around a</w:t>
      </w:r>
      <w:r>
        <w:t xml:space="preserve"> </w:t>
      </w:r>
      <w:r>
        <w:rPr>
          <w:b/>
          <w:bCs/>
        </w:rPr>
        <w:t xml:space="preserve">“Moderate Buy”</w:t>
      </w:r>
      <w:r>
        <w:t xml:space="preserve"> </w:t>
      </w:r>
      <w:r>
        <w:t xml:space="preserve">with an average price target of</w:t>
      </w:r>
      <w:r>
        <w:t xml:space="preserve"> </w:t>
      </w:r>
      <w:r>
        <w:rPr>
          <w:b/>
          <w:bCs/>
        </w:rPr>
        <w:t xml:space="preserve">$1,048 – $1,088</w:t>
      </w:r>
      <w:r>
        <w:t xml:space="preserve">, implying ~14% to 18% upside. However, Wall Street adopted a distinct post-earnings playbook:</w:t>
      </w:r>
      <w:r>
        <w:t xml:space="preserve"> </w:t>
      </w:r>
      <w:r>
        <w:rPr>
          <w:i/>
          <w:iCs/>
        </w:rPr>
        <w:t xml:space="preserve">retaining positive ratings while trimming targets</w:t>
      </w:r>
      <w:r>
        <w:t xml:space="preserve"> </w:t>
      </w:r>
      <w:r>
        <w:t xml:space="preserve">to reflect higher discount rates and slower membership additions:</w:t>
      </w:r>
    </w:p>
    <w:p>
      <w:pPr>
        <w:pStyle w:val="Compact"/>
        <w:numPr>
          <w:ilvl w:val="0"/>
          <w:numId w:val="1040"/>
        </w:numPr>
      </w:pPr>
      <w:r>
        <w:rPr>
          <w:b/>
          <w:bCs/>
        </w:rPr>
        <w:t xml:space="preserve">Wells Fargo (Sept 25):</w:t>
      </w:r>
      <w:r>
        <w:t xml:space="preserve"> </w:t>
      </w:r>
      <w:r>
        <w:t xml:space="preserve">Cut price target from $1,000 to $950; maintained</w:t>
      </w:r>
      <w:r>
        <w:t xml:space="preserve"> </w:t>
      </w:r>
      <w:r>
        <w:rPr>
          <w:b/>
          <w:bCs/>
        </w:rPr>
        <w:t xml:space="preserve">Equal Weight</w:t>
      </w:r>
      <w:r>
        <w:t xml:space="preserve">. Noted that while earnings beat expectations ($6.75 vs. $6.54), $0.15 was driven by tariff refunds and elevated valuation leaves limited multiple upside.</w:t>
      </w:r>
    </w:p>
    <w:p>
      <w:pPr>
        <w:pStyle w:val="Compact"/>
        <w:numPr>
          <w:ilvl w:val="0"/>
          <w:numId w:val="1040"/>
        </w:numPr>
      </w:pPr>
      <w:r>
        <w:rPr>
          <w:b/>
          <w:bCs/>
        </w:rPr>
        <w:t xml:space="preserve">Truist (Sept 28):</w:t>
      </w:r>
      <w:r>
        <w:t xml:space="preserve"> </w:t>
      </w:r>
      <w:r>
        <w:t xml:space="preserve">Lowered price target to $955 from $1,011; maintained</w:t>
      </w:r>
      <w:r>
        <w:t xml:space="preserve"> </w:t>
      </w:r>
      <w:r>
        <w:rPr>
          <w:b/>
          <w:bCs/>
        </w:rPr>
        <w:t xml:space="preserve">Hold</w:t>
      </w:r>
      <w:r>
        <w:t xml:space="preserve">. Pointed to moderation in membership household growth (+3.8%) and noted that recent warehouse openings have favored domestic infill over faster-growing international Asian markets.</w:t>
      </w:r>
    </w:p>
    <w:p>
      <w:pPr>
        <w:pStyle w:val="Compact"/>
        <w:numPr>
          <w:ilvl w:val="0"/>
          <w:numId w:val="1040"/>
        </w:numPr>
      </w:pPr>
      <w:r>
        <w:rPr>
          <w:b/>
          <w:bCs/>
        </w:rPr>
        <w:t xml:space="preserve">Raymond James (Sept 28):</w:t>
      </w:r>
      <w:r>
        <w:t xml:space="preserve"> </w:t>
      </w:r>
      <w:r>
        <w:t xml:space="preserve">Lowered target to $1,050 from $1,100; retained</w:t>
      </w:r>
      <w:r>
        <w:t xml:space="preserve"> </w:t>
      </w:r>
      <w:r>
        <w:rPr>
          <w:b/>
          <w:bCs/>
        </w:rPr>
        <w:t xml:space="preserve">Outperform</w:t>
      </w:r>
      <w:r>
        <w:t xml:space="preserve">. Emphasized robust long-term earnings drivers, citing Executive membership growth (+9.4%), international opportunities, and e-commerce growth.</w:t>
      </w:r>
    </w:p>
    <w:p>
      <w:pPr>
        <w:pStyle w:val="Compact"/>
        <w:numPr>
          <w:ilvl w:val="0"/>
          <w:numId w:val="1040"/>
        </w:numPr>
      </w:pPr>
      <w:r>
        <w:rPr>
          <w:b/>
          <w:bCs/>
        </w:rPr>
        <w:t xml:space="preserve">Evercore ISI (Sept 28):</w:t>
      </w:r>
      <w:r>
        <w:t xml:space="preserve"> </w:t>
      </w:r>
      <w:r>
        <w:t xml:space="preserve">Reaffirmed</w:t>
      </w:r>
      <w:r>
        <w:t xml:space="preserve"> </w:t>
      </w:r>
      <w:r>
        <w:rPr>
          <w:b/>
          <w:bCs/>
        </w:rPr>
        <w:t xml:space="preserve">Buy</w:t>
      </w:r>
      <w:r>
        <w:t xml:space="preserve"> </w:t>
      </w:r>
      <w:r>
        <w:t xml:space="preserve">with a</w:t>
      </w:r>
      <w:r>
        <w:t xml:space="preserve"> </w:t>
      </w:r>
      <w:r>
        <w:rPr>
          <w:b/>
          <w:bCs/>
        </w:rPr>
        <w:t xml:space="preserve">$1,100</w:t>
      </w:r>
      <w:r>
        <w:t xml:space="preserve"> </w:t>
      </w:r>
      <w:r>
        <w:t xml:space="preserve">target (~19% upside). Highlighted two consecutive quarters of rising renewal rates and management’s strategy of reinvesting tariff refunds to widen Costco’s price advantage.</w:t>
      </w:r>
    </w:p>
    <w:p>
      <w:pPr>
        <w:pStyle w:val="Compact"/>
        <w:numPr>
          <w:ilvl w:val="0"/>
          <w:numId w:val="1040"/>
        </w:numPr>
      </w:pPr>
      <w:r>
        <w:rPr>
          <w:b/>
          <w:bCs/>
        </w:rPr>
        <w:t xml:space="preserve">Mizuho (Sept 25):</w:t>
      </w:r>
      <w:r>
        <w:t xml:space="preserve"> </w:t>
      </w:r>
      <w:r>
        <w:t xml:space="preserve">Slashed target from $1,100 to $1,065; maintained</w:t>
      </w:r>
      <w:r>
        <w:t xml:space="preserve"> </w:t>
      </w:r>
      <w:r>
        <w:rPr>
          <w:b/>
          <w:bCs/>
        </w:rPr>
        <w:t xml:space="preserve">Outperform</w:t>
      </w:r>
      <w:r>
        <w:t xml:space="preserve">.</w:t>
      </w:r>
    </w:p>
    <w:p>
      <w:pPr>
        <w:pStyle w:val="Compact"/>
        <w:numPr>
          <w:ilvl w:val="0"/>
          <w:numId w:val="1040"/>
        </w:numPr>
      </w:pPr>
      <w:r>
        <w:rPr>
          <w:b/>
          <w:bCs/>
        </w:rPr>
        <w:t xml:space="preserve">Bernstein (Sept 25):</w:t>
      </w:r>
      <w:r>
        <w:t xml:space="preserve"> </w:t>
      </w:r>
      <w:r>
        <w:t xml:space="preserve">Trimmed target by $1 from $1,144 to $1,143; maintained</w:t>
      </w:r>
      <w:r>
        <w:t xml:space="preserve"> </w:t>
      </w:r>
      <w:r>
        <w:rPr>
          <w:b/>
          <w:bCs/>
        </w:rPr>
        <w:t xml:space="preserve">Outperform</w:t>
      </w:r>
      <w:r>
        <w:t xml:space="preserve">.</w:t>
      </w:r>
    </w:p>
    <w:p>
      <w:pPr>
        <w:pStyle w:val="Compact"/>
        <w:numPr>
          <w:ilvl w:val="0"/>
          <w:numId w:val="1040"/>
        </w:numPr>
      </w:pPr>
      <w:r>
        <w:rPr>
          <w:b/>
          <w:bCs/>
        </w:rPr>
        <w:t xml:space="preserve">Freedom Broker (Sept 28):</w:t>
      </w:r>
      <w:r>
        <w:t xml:space="preserve"> </w:t>
      </w:r>
      <w:r>
        <w:t xml:space="preserve">Lowered target to $1,010 from $1,030; maintained</w:t>
      </w:r>
      <w:r>
        <w:t xml:space="preserve"> </w:t>
      </w:r>
      <w:r>
        <w:rPr>
          <w:b/>
          <w:bCs/>
        </w:rPr>
        <w:t xml:space="preserve">Buy</w:t>
      </w:r>
      <w:r>
        <w:t xml:space="preserve">, citing that medium-term business fundamentals remain unchanged.</w:t>
      </w:r>
    </w:p>
    <w:p>
      <w:pPr>
        <w:pStyle w:val="Compact"/>
        <w:numPr>
          <w:ilvl w:val="0"/>
          <w:numId w:val="1040"/>
        </w:numPr>
      </w:pPr>
      <w:r>
        <w:rPr>
          <w:b/>
          <w:bCs/>
        </w:rPr>
        <w:t xml:space="preserve">Roth MKM (Sept 28):</w:t>
      </w:r>
      <w:r>
        <w:t xml:space="preserve"> </w:t>
      </w:r>
      <w:r>
        <w:t xml:space="preserve">Maintained lone</w:t>
      </w:r>
      <w:r>
        <w:t xml:space="preserve"> </w:t>
      </w:r>
      <w:r>
        <w:rPr>
          <w:b/>
          <w:bCs/>
        </w:rPr>
        <w:t xml:space="preserve">Sell</w:t>
      </w:r>
      <w:r>
        <w:t xml:space="preserve"> </w:t>
      </w:r>
      <w:r>
        <w:t xml:space="preserve">rating with a</w:t>
      </w:r>
      <w:r>
        <w:t xml:space="preserve"> </w:t>
      </w:r>
      <w:r>
        <w:rPr>
          <w:b/>
          <w:bCs/>
        </w:rPr>
        <w:t xml:space="preserve">$781</w:t>
      </w:r>
      <w:r>
        <w:t xml:space="preserve"> </w:t>
      </w:r>
      <w:r>
        <w:t xml:space="preserve">target (~15% downside), arguing that two-year stacked traffic growth is decelerating and current multiples overvalue slowing member additions.</w:t>
      </w:r>
    </w:p>
    <w:p>
      <w:r>
        <w:pict>
          <v:rect style="width:0;height:1.5pt" o:hralign="center" o:hrstd="t" o:hr="t"/>
        </w:pict>
      </w:r>
    </w:p>
    <w:bookmarkEnd w:id="41"/>
    <w:bookmarkStart w:id="44" w:name="key-risks-opportunities"/>
    <w:p>
      <w:pPr>
        <w:pStyle w:val="Heading3"/>
      </w:pPr>
      <w:r>
        <w:t xml:space="preserve">5. Key Risks &amp; Opportunities</w:t>
      </w:r>
    </w:p>
    <w:bookmarkStart w:id="42" w:name="identified-risks"/>
    <w:p>
      <w:pPr>
        <w:pStyle w:val="Heading4"/>
      </w:pPr>
      <w:r>
        <w:t xml:space="preserve">Identified Risks:</w:t>
      </w:r>
    </w:p>
    <w:p>
      <w:pPr>
        <w:pStyle w:val="Compact"/>
        <w:numPr>
          <w:ilvl w:val="0"/>
          <w:numId w:val="1041"/>
        </w:numPr>
      </w:pPr>
      <w:r>
        <w:rPr>
          <w:b/>
          <w:bCs/>
        </w:rPr>
        <w:t xml:space="preserve">Elevated Valuation Multiples:</w:t>
      </w:r>
      <w:r>
        <w:t xml:space="preserve"> </w:t>
      </w:r>
      <w:r>
        <w:t xml:space="preserve">At 44.5x trailing P/E, COST trades well above the retail industry norm (~16x–18x) and its own 10-year median (38.0x). Any subsequent earnings miss or macroeconomic slowdown leaves the stock vulnerable to multiple contraction.</w:t>
      </w:r>
    </w:p>
    <w:p>
      <w:pPr>
        <w:pStyle w:val="Compact"/>
        <w:numPr>
          <w:ilvl w:val="0"/>
          <w:numId w:val="1041"/>
        </w:numPr>
      </w:pPr>
      <w:r>
        <w:rPr>
          <w:b/>
          <w:bCs/>
        </w:rPr>
        <w:t xml:space="preserve">Moderating Membership Additions:</w:t>
      </w:r>
      <w:r>
        <w:t xml:space="preserve"> </w:t>
      </w:r>
      <w:r>
        <w:t xml:space="preserve">Paid membership growth slowed to 3.8% YoY (84.1M), reflecting several quarters of sequential deceleration in new household sign-ups as warehouse openings focus on infill rather than unpenetrated territory.</w:t>
      </w:r>
    </w:p>
    <w:p>
      <w:pPr>
        <w:pStyle w:val="Compact"/>
        <w:numPr>
          <w:ilvl w:val="0"/>
          <w:numId w:val="1041"/>
        </w:numPr>
      </w:pPr>
      <w:r>
        <w:rPr>
          <w:b/>
          <w:bCs/>
        </w:rPr>
        <w:t xml:space="preserve">Component and Merchandise Inflation:</w:t>
      </w:r>
      <w:r>
        <w:t xml:space="preserve"> </w:t>
      </w:r>
      <w:r>
        <w:t xml:space="preserve">Persistent inflation in consumer electronics and memory hardware prompted a $152M LIFO inventory charge in Q4 FY2026, creating merchandise margin headwinds.</w:t>
      </w:r>
    </w:p>
    <w:p>
      <w:pPr>
        <w:pStyle w:val="Compact"/>
        <w:numPr>
          <w:ilvl w:val="0"/>
          <w:numId w:val="1041"/>
        </w:numPr>
      </w:pPr>
      <w:r>
        <w:rPr>
          <w:b/>
          <w:bCs/>
        </w:rPr>
        <w:t xml:space="preserve">International Expansion Pauses:</w:t>
      </w:r>
      <w:r>
        <w:t xml:space="preserve"> </w:t>
      </w:r>
      <w:r>
        <w:t xml:space="preserve">Management disclosed plans to pause new Asian warehouse openings until 2028, delaying high-margin international warehouse scaling.</w:t>
      </w:r>
    </w:p>
    <w:p>
      <w:pPr>
        <w:pStyle w:val="Compact"/>
        <w:numPr>
          <w:ilvl w:val="0"/>
          <w:numId w:val="1041"/>
        </w:numPr>
      </w:pPr>
      <w:r>
        <w:rPr>
          <w:b/>
          <w:bCs/>
        </w:rPr>
        <w:t xml:space="preserve">Regulatory and Antitrust Scrutiny:</w:t>
      </w:r>
      <w:r>
        <w:t xml:space="preserve"> </w:t>
      </w:r>
      <w:r>
        <w:t xml:space="preserve">External headwinds include the ongoing DOJ beef price investigation and global supply chain disruptions (e.g., Red Sea shipping routes and Panama Canal delays).</w:t>
      </w:r>
    </w:p>
    <w:bookmarkEnd w:id="42"/>
    <w:bookmarkStart w:id="43" w:name="identified-opportunities"/>
    <w:p>
      <w:pPr>
        <w:pStyle w:val="Heading4"/>
      </w:pPr>
      <w:r>
        <w:t xml:space="preserve">Identified Opportunities:</w:t>
      </w:r>
    </w:p>
    <w:p>
      <w:pPr>
        <w:pStyle w:val="Compact"/>
        <w:numPr>
          <w:ilvl w:val="0"/>
          <w:numId w:val="1042"/>
        </w:numPr>
      </w:pPr>
      <w:r>
        <w:rPr>
          <w:b/>
          <w:bCs/>
        </w:rPr>
        <w:t xml:space="preserve">Digital and Omnichannel Acceleration:</w:t>
      </w:r>
      <w:r>
        <w:t xml:space="preserve"> </w:t>
      </w:r>
      <w:r>
        <w:t xml:space="preserve">Digitally enabled sales grew 19.5% in Q4 and exceeded $33B in FY2026, catalyzed by same-day marketplace rollouts with DoorDash and Uber.</w:t>
      </w:r>
    </w:p>
    <w:p>
      <w:pPr>
        <w:pStyle w:val="Compact"/>
        <w:numPr>
          <w:ilvl w:val="0"/>
          <w:numId w:val="1042"/>
        </w:numPr>
      </w:pPr>
      <w:r>
        <w:rPr>
          <w:b/>
          <w:bCs/>
        </w:rPr>
        <w:t xml:space="preserve">Industry-Leading Customer Retention:</w:t>
      </w:r>
      <w:r>
        <w:t xml:space="preserve"> </w:t>
      </w:r>
      <w:r>
        <w:t xml:space="preserve">Renewal rates stand at an exceptional 92.3% in the U.S. and Canada, with Executive members growing 9.4% YoY, ensuring high-margin recurring fee revenue ($5.91B in FY2026).</w:t>
      </w:r>
    </w:p>
    <w:p>
      <w:pPr>
        <w:pStyle w:val="Compact"/>
        <w:numPr>
          <w:ilvl w:val="0"/>
          <w:numId w:val="1042"/>
        </w:numPr>
      </w:pPr>
      <w:r>
        <w:rPr>
          <w:b/>
          <w:bCs/>
        </w:rPr>
        <w:t xml:space="preserve">Price Leadership from Tariff Reinvestment:</w:t>
      </w:r>
      <w:r>
        <w:t xml:space="preserve"> </w:t>
      </w:r>
      <w:r>
        <w:t xml:space="preserve">Management’s decision to reinvest $184M in IEEPA tariff refunds directly into lowering consumer prices widens the price-value gap over competitors like Walmart and grocery supermarkets.</w:t>
      </w:r>
    </w:p>
    <w:p>
      <w:pPr>
        <w:pStyle w:val="Compact"/>
        <w:numPr>
          <w:ilvl w:val="0"/>
          <w:numId w:val="1042"/>
        </w:numPr>
      </w:pPr>
      <w:r>
        <w:rPr>
          <w:b/>
          <w:bCs/>
        </w:rPr>
        <w:t xml:space="preserve">Fortress Balance Sheet for Capital Return:</w:t>
      </w:r>
      <w:r>
        <w:t xml:space="preserve"> </w:t>
      </w:r>
      <w:r>
        <w:t xml:space="preserve">Holding over $20.2B in cash and equivalents against low debt provides significant balance sheet flexibility for future warehouse acceleration, ongoing share repurchases, and potential special cash dividend distributions.</w:t>
      </w:r>
    </w:p>
    <w:p>
      <w:r>
        <w:pict>
          <v:rect style="width:0;height:1.5pt" o:hralign="center" o:hrstd="t" o:hr="t"/>
        </w:pict>
      </w:r>
    </w:p>
    <w:bookmarkEnd w:id="43"/>
    <w:bookmarkEnd w:id="44"/>
    <w:bookmarkStart w:id="45" w:name="key-reference-articles"/>
    <w:p>
      <w:pPr>
        <w:pStyle w:val="Heading3"/>
      </w:pPr>
      <w:r>
        <w:t xml:space="preserve">6. Key Reference Articles</w:t>
      </w:r>
    </w:p>
    <w:p>
      <w:pPr>
        <w:numPr>
          <w:ilvl w:val="0"/>
          <w:numId w:val="1043"/>
        </w:numPr>
      </w:pPr>
      <w:r>
        <w:rPr>
          <w:b/>
          <w:bCs/>
        </w:rPr>
        <w:t xml:space="preserve">Title:</w:t>
      </w:r>
      <w:r>
        <w:t xml:space="preserve"> </w:t>
      </w:r>
      <w:r>
        <w:t xml:space="preserve">Costco Beats Q4 Estimates but Shares Dip as Analysts Trim Targets</w:t>
      </w:r>
      <w:r>
        <w:br/>
      </w:r>
      <w:r>
        <w:rPr>
          <w:b/>
          <w:bCs/>
        </w:rPr>
        <w:t xml:space="preserve">URL:</w:t>
      </w:r>
      <w:r>
        <w:t xml:space="preserve"> </w:t>
      </w:r>
      <w:r>
        <w:t xml:space="preserve">https://trendspider.com/learning-center/costco-beats-q4-estimates-analysts-trim-targets/</w:t>
      </w:r>
      <w:r>
        <w:br/>
      </w:r>
      <w:r>
        <w:rPr>
          <w:b/>
          <w:bCs/>
        </w:rPr>
        <w:t xml:space="preserve">Source:</w:t>
      </w:r>
      <w:r>
        <w:t xml:space="preserve"> </w:t>
      </w:r>
      <w:r>
        <w:t xml:space="preserve">TrendSpider</w:t>
      </w:r>
      <w:r>
        <w:br/>
      </w:r>
      <w:r>
        <w:rPr>
          <w:b/>
          <w:bCs/>
        </w:rPr>
        <w:t xml:space="preserve">Author:</w:t>
      </w:r>
      <w:r>
        <w:t xml:space="preserve"> </w:t>
      </w:r>
      <w:r>
        <w:t xml:space="preserve">Market Insights Desk</w:t>
      </w:r>
      <w:r>
        <w:br/>
      </w:r>
      <w:r>
        <w:rPr>
          <w:b/>
          <w:bCs/>
        </w:rPr>
        <w:t xml:space="preserve">Date Published:</w:t>
      </w:r>
      <w:r>
        <w:t xml:space="preserve"> </w:t>
      </w:r>
      <w:r>
        <w:t xml:space="preserve">September 25, 2026</w:t>
      </w:r>
      <w:r>
        <w:br/>
      </w:r>
      <w:r>
        <w:rPr>
          <w:b/>
          <w:bCs/>
        </w:rPr>
        <w:t xml:space="preserve">Brief Relevance:</w:t>
      </w:r>
      <w:r>
        <w:t xml:space="preserve"> </w:t>
      </w:r>
      <w:r>
        <w:t xml:space="preserve">Provided detailed breakdown of Q4 FY2026 earnings beat ($6.75 vs. $6.52), the $152M LIFO charge, $184M tariff refunds, and initial market reaction.</w:t>
      </w:r>
    </w:p>
    <w:p>
      <w:pPr>
        <w:numPr>
          <w:ilvl w:val="0"/>
          <w:numId w:val="1043"/>
        </w:numPr>
      </w:pPr>
      <w:r>
        <w:rPr>
          <w:b/>
          <w:bCs/>
        </w:rPr>
        <w:t xml:space="preserve">Title:</w:t>
      </w:r>
      <w:r>
        <w:t xml:space="preserve"> </w:t>
      </w:r>
      <w:r>
        <w:t xml:space="preserve">COST Stock Wrapped Its Best Week Since May: Analysts Still See Multiple Growth Drivers For Costco Despite Trimming Price Targets</w:t>
      </w:r>
      <w:r>
        <w:br/>
      </w:r>
      <w:r>
        <w:rPr>
          <w:b/>
          <w:bCs/>
        </w:rPr>
        <w:t xml:space="preserve">URL:</w:t>
      </w:r>
      <w:r>
        <w:t xml:space="preserve"> </w:t>
      </w:r>
      <w:r>
        <w:t xml:space="preserve">https://www.tradingview.com/news/stocktwits:8710360a0094b:0-cost-stock-wrapped-its-best-week-since-may-analysts-still-see-multiple-growth-drivers-for-costco-despite-trimming-price-targets/</w:t>
      </w:r>
      <w:r>
        <w:br/>
      </w:r>
      <w:r>
        <w:rPr>
          <w:b/>
          <w:bCs/>
        </w:rPr>
        <w:t xml:space="preserve">Source:</w:t>
      </w:r>
      <w:r>
        <w:t xml:space="preserve"> </w:t>
      </w:r>
      <w:r>
        <w:t xml:space="preserve">TradingView / Stocktwits</w:t>
      </w:r>
      <w:r>
        <w:br/>
      </w:r>
      <w:r>
        <w:rPr>
          <w:b/>
          <w:bCs/>
        </w:rPr>
        <w:t xml:space="preserve">Author:</w:t>
      </w:r>
      <w:r>
        <w:t xml:space="preserve"> </w:t>
      </w:r>
      <w:r>
        <w:t xml:space="preserve">Stocktwits News</w:t>
      </w:r>
      <w:r>
        <w:br/>
      </w:r>
      <w:r>
        <w:rPr>
          <w:b/>
          <w:bCs/>
        </w:rPr>
        <w:t xml:space="preserve">Date Published:</w:t>
      </w:r>
      <w:r>
        <w:t xml:space="preserve"> </w:t>
      </w:r>
      <w:r>
        <w:t xml:space="preserve">September 28, 2026</w:t>
      </w:r>
      <w:r>
        <w:br/>
      </w:r>
      <w:r>
        <w:rPr>
          <w:b/>
          <w:bCs/>
        </w:rPr>
        <w:t xml:space="preserve">Brief Relevance:</w:t>
      </w:r>
      <w:r>
        <w:t xml:space="preserve"> </w:t>
      </w:r>
      <w:r>
        <w:t xml:space="preserve">Documented post-earnings stock rebound (+3%), membership growth metrics (84.1M members, 92.3% renewal), and post-print target reductions from Truist, Raymond James, and Freedom Broker.</w:t>
      </w:r>
    </w:p>
    <w:p>
      <w:pPr>
        <w:numPr>
          <w:ilvl w:val="0"/>
          <w:numId w:val="1043"/>
        </w:numPr>
      </w:pPr>
      <w:r>
        <w:rPr>
          <w:b/>
          <w:bCs/>
        </w:rPr>
        <w:t xml:space="preserve">Title:</w:t>
      </w:r>
      <w:r>
        <w:t xml:space="preserve"> </w:t>
      </w:r>
      <w:r>
        <w:t xml:space="preserve">These Analysts Cut Their Forecasts On Costco Following Q4 Results</w:t>
      </w:r>
      <w:r>
        <w:br/>
      </w:r>
      <w:r>
        <w:rPr>
          <w:b/>
          <w:bCs/>
        </w:rPr>
        <w:t xml:space="preserve">URL:</w:t>
      </w:r>
      <w:r>
        <w:t xml:space="preserve"> </w:t>
      </w:r>
      <w:r>
        <w:t xml:space="preserve">https://www.benzinga.com/analyst-ratings/analyst-color/26/09/47891253/these-analysts-cut-their-forecasts-on-costco-following-q4-results</w:t>
      </w:r>
      <w:r>
        <w:br/>
      </w:r>
      <w:r>
        <w:rPr>
          <w:b/>
          <w:bCs/>
        </w:rPr>
        <w:t xml:space="preserve">Source:</w:t>
      </w:r>
      <w:r>
        <w:t xml:space="preserve"> </w:t>
      </w:r>
      <w:r>
        <w:t xml:space="preserve">Benzinga</w:t>
      </w:r>
      <w:r>
        <w:br/>
      </w:r>
      <w:r>
        <w:rPr>
          <w:b/>
          <w:bCs/>
        </w:rPr>
        <w:t xml:space="preserve">Author:</w:t>
      </w:r>
      <w:r>
        <w:t xml:space="preserve"> </w:t>
      </w:r>
      <w:r>
        <w:t xml:space="preserve">Avi Kapoor</w:t>
      </w:r>
      <w:r>
        <w:br/>
      </w:r>
      <w:r>
        <w:rPr>
          <w:b/>
          <w:bCs/>
        </w:rPr>
        <w:t xml:space="preserve">Date Published:</w:t>
      </w:r>
      <w:r>
        <w:t xml:space="preserve"> </w:t>
      </w:r>
      <w:r>
        <w:t xml:space="preserve">September 25, 2026</w:t>
      </w:r>
      <w:r>
        <w:br/>
      </w:r>
      <w:r>
        <w:rPr>
          <w:b/>
          <w:bCs/>
        </w:rPr>
        <w:t xml:space="preserve">Brief Relevance:</w:t>
      </w:r>
      <w:r>
        <w:t xml:space="preserve"> </w:t>
      </w:r>
      <w:r>
        <w:t xml:space="preserve">Covered specific analyst rating revisions immediately following earnings, including target adjustments by Bernstein and Mizuho.</w:t>
      </w:r>
    </w:p>
    <w:p>
      <w:pPr>
        <w:numPr>
          <w:ilvl w:val="0"/>
          <w:numId w:val="1043"/>
        </w:numPr>
      </w:pPr>
      <w:r>
        <w:rPr>
          <w:b/>
          <w:bCs/>
        </w:rPr>
        <w:t xml:space="preserve">Title:</w:t>
      </w:r>
      <w:r>
        <w:t xml:space="preserve"> </w:t>
      </w:r>
      <w:r>
        <w:t xml:space="preserve">Costco Wholesale (COST) PE Ratio (TTM) Calculation and Historical Analysis</w:t>
      </w:r>
      <w:r>
        <w:br/>
      </w:r>
      <w:r>
        <w:rPr>
          <w:b/>
          <w:bCs/>
        </w:rPr>
        <w:t xml:space="preserve">URL:</w:t>
      </w:r>
      <w:r>
        <w:t xml:space="preserve"> </w:t>
      </w:r>
      <w:r>
        <w:t xml:space="preserve">https://www.gurufocus.com/term/pettm/COST/PE-Ratio-TTM/Costco-Wholesale</w:t>
      </w:r>
      <w:r>
        <w:br/>
      </w:r>
      <w:r>
        <w:rPr>
          <w:b/>
          <w:bCs/>
        </w:rPr>
        <w:t xml:space="preserve">Source:</w:t>
      </w:r>
      <w:r>
        <w:t xml:space="preserve"> </w:t>
      </w:r>
      <w:r>
        <w:t xml:space="preserve">GuruFocus</w:t>
      </w:r>
      <w:r>
        <w:br/>
      </w:r>
      <w:r>
        <w:rPr>
          <w:b/>
          <w:bCs/>
        </w:rPr>
        <w:t xml:space="preserve">Author:</w:t>
      </w:r>
      <w:r>
        <w:t xml:space="preserve"> </w:t>
      </w:r>
      <w:r>
        <w:t xml:space="preserve">GuruFocus Research Team</w:t>
      </w:r>
      <w:r>
        <w:br/>
      </w:r>
      <w:r>
        <w:rPr>
          <w:b/>
          <w:bCs/>
        </w:rPr>
        <w:t xml:space="preserve">Date Published:</w:t>
      </w:r>
      <w:r>
        <w:t xml:space="preserve"> </w:t>
      </w:r>
      <w:r>
        <w:t xml:space="preserve">September 28, 2026</w:t>
      </w:r>
      <w:r>
        <w:br/>
      </w:r>
      <w:r>
        <w:rPr>
          <w:b/>
          <w:bCs/>
        </w:rPr>
        <w:t xml:space="preserve">Brief Relevance:</w:t>
      </w:r>
      <w:r>
        <w:t xml:space="preserve"> </w:t>
      </w:r>
      <w:r>
        <w:t xml:space="preserve">Provided current valuation metrics (44.45x trailing P/E), 10-year median context (38.04x), GF Value assessment, and defensive retail industry comparisons.</w:t>
      </w:r>
    </w:p>
    <w:p>
      <w:pPr>
        <w:numPr>
          <w:ilvl w:val="0"/>
          <w:numId w:val="1043"/>
        </w:numPr>
      </w:pPr>
      <w:r>
        <w:rPr>
          <w:b/>
          <w:bCs/>
        </w:rPr>
        <w:t xml:space="preserve">Title:</w:t>
      </w:r>
      <w:r>
        <w:t xml:space="preserve"> </w:t>
      </w:r>
      <w:r>
        <w:t xml:space="preserve">Costco Stock (COST): Here’s Why Wall Street Remains Split After the Retail Giant’s Q4 Earnings</w:t>
      </w:r>
      <w:r>
        <w:br/>
      </w:r>
      <w:r>
        <w:rPr>
          <w:b/>
          <w:bCs/>
        </w:rPr>
        <w:t xml:space="preserve">URL:</w:t>
      </w:r>
      <w:r>
        <w:t xml:space="preserve"> </w:t>
      </w:r>
      <w:r>
        <w:t xml:space="preserve">https://www.tipranks.com/news/costco-stock-cost-heres-why-wall-street-remains-split-after-the-retail-giants-q4-earnings</w:t>
      </w:r>
      <w:r>
        <w:br/>
      </w:r>
      <w:r>
        <w:rPr>
          <w:b/>
          <w:bCs/>
        </w:rPr>
        <w:t xml:space="preserve">Source:</w:t>
      </w:r>
      <w:r>
        <w:t xml:space="preserve"> </w:t>
      </w:r>
      <w:r>
        <w:t xml:space="preserve">TipRanks</w:t>
      </w:r>
      <w:r>
        <w:br/>
      </w:r>
      <w:r>
        <w:rPr>
          <w:b/>
          <w:bCs/>
        </w:rPr>
        <w:t xml:space="preserve">Author:</w:t>
      </w:r>
      <w:r>
        <w:t xml:space="preserve"> </w:t>
      </w:r>
      <w:r>
        <w:t xml:space="preserve">TipRanks Financial News</w:t>
      </w:r>
      <w:r>
        <w:br/>
      </w:r>
      <w:r>
        <w:rPr>
          <w:b/>
          <w:bCs/>
        </w:rPr>
        <w:t xml:space="preserve">Date Published:</w:t>
      </w:r>
      <w:r>
        <w:t xml:space="preserve"> </w:t>
      </w:r>
      <w:r>
        <w:t xml:space="preserve">September 28, 2026</w:t>
      </w:r>
      <w:r>
        <w:br/>
      </w:r>
      <w:r>
        <w:rPr>
          <w:b/>
          <w:bCs/>
        </w:rPr>
        <w:t xml:space="preserve">Brief Relevance:</w:t>
      </w:r>
      <w:r>
        <w:t xml:space="preserve"> </w:t>
      </w:r>
      <w:r>
        <w:t xml:space="preserve">Outlined divergent analyst viewpoints post-Q4, including Evercore’s bullish stance on traffic ($1,100 target) versus Roth MKM’s sell rating ($781 target) on slowing membership gains.</w:t>
      </w:r>
    </w:p>
    <w:p>
      <w:pPr>
        <w:numPr>
          <w:ilvl w:val="0"/>
          <w:numId w:val="1043"/>
        </w:numPr>
      </w:pPr>
      <w:r>
        <w:rPr>
          <w:b/>
          <w:bCs/>
        </w:rPr>
        <w:t xml:space="preserve">Title:</w:t>
      </w:r>
      <w:r>
        <w:t xml:space="preserve"> </w:t>
      </w:r>
      <w:r>
        <w:t xml:space="preserve">Costco Wholesale Corp (COST) Key Statistics &amp; Live Snapshot</w:t>
      </w:r>
      <w:r>
        <w:br/>
      </w:r>
      <w:r>
        <w:rPr>
          <w:b/>
          <w:bCs/>
        </w:rPr>
        <w:t xml:space="preserve">URL:</w:t>
      </w:r>
      <w:r>
        <w:t xml:space="preserve"> </w:t>
      </w:r>
      <w:r>
        <w:t xml:space="preserve">https://robinhood.com/us/en/stocks/COST/</w:t>
      </w:r>
      <w:r>
        <w:br/>
      </w:r>
      <w:r>
        <w:rPr>
          <w:b/>
          <w:bCs/>
        </w:rPr>
        <w:t xml:space="preserve">Source:</w:t>
      </w:r>
      <w:r>
        <w:t xml:space="preserve"> </w:t>
      </w:r>
      <w:r>
        <w:t xml:space="preserve">Robinhood</w:t>
      </w:r>
      <w:r>
        <w:br/>
      </w:r>
      <w:r>
        <w:rPr>
          <w:b/>
          <w:bCs/>
        </w:rPr>
        <w:t xml:space="preserve">Author:</w:t>
      </w:r>
      <w:r>
        <w:t xml:space="preserve"> </w:t>
      </w:r>
      <w:r>
        <w:t xml:space="preserve">Robinhood Financial</w:t>
      </w:r>
      <w:r>
        <w:br/>
      </w:r>
      <w:r>
        <w:rPr>
          <w:b/>
          <w:bCs/>
        </w:rPr>
        <w:t xml:space="preserve">Date Published:</w:t>
      </w:r>
      <w:r>
        <w:t xml:space="preserve"> </w:t>
      </w:r>
      <w:r>
        <w:t xml:space="preserve">September 29, 2026</w:t>
      </w:r>
      <w:r>
        <w:br/>
      </w:r>
      <w:r>
        <w:rPr>
          <w:b/>
          <w:bCs/>
        </w:rPr>
        <w:t xml:space="preserve">Brief Relevance:</w:t>
      </w:r>
      <w:r>
        <w:t xml:space="preserve"> </w:t>
      </w:r>
      <w:r>
        <w:t xml:space="preserve">Sourced current intraday share price ($921.99), 52-week trading range ($844.06–$1,096.50), volume, and current market capitalization ($409.30B).</w:t>
      </w:r>
    </w:p>
    <w:p>
      <w:pPr>
        <w:numPr>
          <w:ilvl w:val="0"/>
          <w:numId w:val="1043"/>
        </w:numPr>
      </w:pPr>
      <w:r>
        <w:rPr>
          <w:b/>
          <w:bCs/>
        </w:rPr>
        <w:t xml:space="preserve">Title:</w:t>
      </w:r>
      <w:r>
        <w:t xml:space="preserve"> </w:t>
      </w:r>
      <w:r>
        <w:t xml:space="preserve">Costco, Walmart and Kroger: A Retail Trade Breakdown</w:t>
      </w:r>
      <w:r>
        <w:br/>
      </w:r>
      <w:r>
        <w:rPr>
          <w:b/>
          <w:bCs/>
        </w:rPr>
        <w:t xml:space="preserve">URL:</w:t>
      </w:r>
      <w:r>
        <w:t xml:space="preserve"> </w:t>
      </w:r>
      <w:r>
        <w:t xml:space="preserve">https://www.investing.com/analysis/costco-walmart-and-kroger-a-retail-trade-breakdown-200665321</w:t>
      </w:r>
      <w:r>
        <w:br/>
      </w:r>
      <w:r>
        <w:rPr>
          <w:b/>
          <w:bCs/>
        </w:rPr>
        <w:t xml:space="preserve">Source:</w:t>
      </w:r>
      <w:r>
        <w:t xml:space="preserve"> </w:t>
      </w:r>
      <w:r>
        <w:t xml:space="preserve">Investing.com</w:t>
      </w:r>
      <w:r>
        <w:br/>
      </w:r>
      <w:r>
        <w:rPr>
          <w:b/>
          <w:bCs/>
        </w:rPr>
        <w:t xml:space="preserve">Author:</w:t>
      </w:r>
      <w:r>
        <w:t xml:space="preserve"> </w:t>
      </w:r>
      <w:r>
        <w:t xml:space="preserve">Investing.com Analysis Team</w:t>
      </w:r>
      <w:r>
        <w:br/>
      </w:r>
      <w:r>
        <w:rPr>
          <w:b/>
          <w:bCs/>
        </w:rPr>
        <w:t xml:space="preserve">Date Published:</w:t>
      </w:r>
      <w:r>
        <w:t xml:space="preserve"> </w:t>
      </w:r>
      <w:r>
        <w:t xml:space="preserve">September 25, 2026</w:t>
      </w:r>
      <w:r>
        <w:br/>
      </w:r>
      <w:r>
        <w:rPr>
          <w:b/>
          <w:bCs/>
        </w:rPr>
        <w:t xml:space="preserve">Brief Relevance:</w:t>
      </w:r>
      <w:r>
        <w:t xml:space="preserve"> </w:t>
      </w:r>
      <w:r>
        <w:t xml:space="preserve">Delivered comparative valuation scoreboard across COST, WMT, and KR, covering forward P/E, EV/EBITDA, ROE, debt-to-equity ratios, and fair value estimates.</w:t>
      </w:r>
    </w:p>
    <w:p>
      <w:pPr>
        <w:numPr>
          <w:ilvl w:val="0"/>
          <w:numId w:val="1043"/>
        </w:numPr>
      </w:pPr>
      <w:r>
        <w:rPr>
          <w:b/>
          <w:bCs/>
        </w:rPr>
        <w:t xml:space="preserve">Title:</w:t>
      </w:r>
      <w:r>
        <w:t xml:space="preserve"> </w:t>
      </w:r>
      <w:r>
        <w:t xml:space="preserve">Costco Wholesale Corporation (COST) Analyst Ratings and Price Target</w:t>
      </w:r>
      <w:r>
        <w:br/>
      </w:r>
      <w:r>
        <w:rPr>
          <w:b/>
          <w:bCs/>
        </w:rPr>
        <w:t xml:space="preserve">URL:</w:t>
      </w:r>
      <w:r>
        <w:t xml:space="preserve"> </w:t>
      </w:r>
      <w:r>
        <w:t xml:space="preserve">https://www.marketbeat.com/stocks/NASDAQ/COST/price-target/</w:t>
      </w:r>
      <w:r>
        <w:br/>
      </w:r>
      <w:r>
        <w:rPr>
          <w:b/>
          <w:bCs/>
        </w:rPr>
        <w:t xml:space="preserve">Source:</w:t>
      </w:r>
      <w:r>
        <w:t xml:space="preserve"> </w:t>
      </w:r>
      <w:r>
        <w:t xml:space="preserve">MarketBeat</w:t>
      </w:r>
      <w:r>
        <w:br/>
      </w:r>
      <w:r>
        <w:rPr>
          <w:b/>
          <w:bCs/>
        </w:rPr>
        <w:t xml:space="preserve">Author:</w:t>
      </w:r>
      <w:r>
        <w:t xml:space="preserve"> </w:t>
      </w:r>
      <w:r>
        <w:t xml:space="preserve">MarketBeat News Desk</w:t>
      </w:r>
      <w:r>
        <w:br/>
      </w:r>
      <w:r>
        <w:rPr>
          <w:b/>
          <w:bCs/>
        </w:rPr>
        <w:t xml:space="preserve">Date Published:</w:t>
      </w:r>
      <w:r>
        <w:t xml:space="preserve"> </w:t>
      </w:r>
      <w:r>
        <w:t xml:space="preserve">September 25, 2026</w:t>
      </w:r>
      <w:r>
        <w:br/>
      </w:r>
      <w:r>
        <w:rPr>
          <w:b/>
          <w:bCs/>
        </w:rPr>
        <w:t xml:space="preserve">Brief Relevance:</w:t>
      </w:r>
      <w:r>
        <w:t xml:space="preserve"> </w:t>
      </w:r>
      <w:r>
        <w:t xml:space="preserve">Detailed the broader Wall Street consensus rating (Moderate Buy), average target price ($1,048.26), and Wells Fargo’s post-earnings downgrade/target cut.</w:t>
      </w:r>
    </w:p>
    <w:p>
      <w:pPr>
        <w:numPr>
          <w:ilvl w:val="0"/>
          <w:numId w:val="1043"/>
        </w:numPr>
      </w:pPr>
      <w:r>
        <w:rPr>
          <w:b/>
          <w:bCs/>
        </w:rPr>
        <w:t xml:space="preserve">Title:</w:t>
      </w:r>
      <w:r>
        <w:t xml:space="preserve"> </w:t>
      </w:r>
      <w:r>
        <w:t xml:space="preserve">Costco Wholesale Analyst Forecasts and Consensus After Full-Year Results</w:t>
      </w:r>
      <w:r>
        <w:br/>
      </w:r>
      <w:r>
        <w:rPr>
          <w:b/>
          <w:bCs/>
        </w:rPr>
        <w:t xml:space="preserve">URL:</w:t>
      </w:r>
      <w:r>
        <w:t xml:space="preserve"> </w:t>
      </w:r>
      <w:r>
        <w:t xml:space="preserve">https://simplywall.st/stocks/us/retail/nasdaq-cost/costco-wholesale/news/analysts-have-updated-their-costco-wholesale-nasdaqcost-price-targets-after-results</w:t>
      </w:r>
      <w:r>
        <w:br/>
      </w:r>
      <w:r>
        <w:rPr>
          <w:b/>
          <w:bCs/>
        </w:rPr>
        <w:t xml:space="preserve">Source:</w:t>
      </w:r>
      <w:r>
        <w:t xml:space="preserve"> </w:t>
      </w:r>
      <w:r>
        <w:t xml:space="preserve">Simply Wall St</w:t>
      </w:r>
      <w:r>
        <w:br/>
      </w:r>
      <w:r>
        <w:rPr>
          <w:b/>
          <w:bCs/>
        </w:rPr>
        <w:t xml:space="preserve">Author:</w:t>
      </w:r>
      <w:r>
        <w:t xml:space="preserve"> </w:t>
      </w:r>
      <w:r>
        <w:t xml:space="preserve">Simply Wall St Editorial Team</w:t>
      </w:r>
      <w:r>
        <w:br/>
      </w:r>
      <w:r>
        <w:rPr>
          <w:b/>
          <w:bCs/>
        </w:rPr>
        <w:t xml:space="preserve">Date Published:</w:t>
      </w:r>
      <w:r>
        <w:t xml:space="preserve"> </w:t>
      </w:r>
      <w:r>
        <w:t xml:space="preserve">September 27, 2026</w:t>
      </w:r>
      <w:r>
        <w:br/>
      </w:r>
      <w:r>
        <w:rPr>
          <w:b/>
          <w:bCs/>
        </w:rPr>
        <w:t xml:space="preserve">Brief Relevance:</w:t>
      </w:r>
      <w:r>
        <w:t xml:space="preserve"> </w:t>
      </w:r>
      <w:r>
        <w:t xml:space="preserve">Provided updated consensus FY2027 revenue ($328.3B) and EPS forecasts ($22.78), along with analyst price target dispersion ($740 to $1,315).</w:t>
      </w:r>
    </w:p>
    <w:p>
      <w:pPr>
        <w:numPr>
          <w:ilvl w:val="0"/>
          <w:numId w:val="1043"/>
        </w:numPr>
      </w:pPr>
      <w:r>
        <w:rPr>
          <w:b/>
          <w:bCs/>
        </w:rPr>
        <w:t xml:space="preserve">Title:</w:t>
      </w:r>
      <w:r>
        <w:t xml:space="preserve"> </w:t>
      </w:r>
      <w:r>
        <w:t xml:space="preserve">Costco Wholesale Corporation Reports Fourth Quarter and Fiscal Year 2026 Operating Results</w:t>
      </w:r>
      <w:r>
        <w:br/>
      </w:r>
      <w:r>
        <w:rPr>
          <w:b/>
          <w:bCs/>
        </w:rPr>
        <w:t xml:space="preserve">URL:</w:t>
      </w:r>
      <w:r>
        <w:t xml:space="preserve"> </w:t>
      </w:r>
      <w:r>
        <w:t xml:space="preserve">https://www.insidermonkey.com/blog/costco-wholesale-corporation-nasdaqcost-q4-earnings-recap-1384021/</w:t>
      </w:r>
      <w:r>
        <w:br/>
      </w:r>
      <w:r>
        <w:rPr>
          <w:b/>
          <w:bCs/>
        </w:rPr>
        <w:t xml:space="preserve">Source:</w:t>
      </w:r>
      <w:r>
        <w:t xml:space="preserve"> </w:t>
      </w:r>
      <w:r>
        <w:t xml:space="preserve">Insider Monkey</w:t>
      </w:r>
      <w:r>
        <w:br/>
      </w:r>
      <w:r>
        <w:rPr>
          <w:b/>
          <w:bCs/>
        </w:rPr>
        <w:t xml:space="preserve">Author:</w:t>
      </w:r>
      <w:r>
        <w:t xml:space="preserve"> </w:t>
      </w:r>
      <w:r>
        <w:t xml:space="preserve">Financial News Desk</w:t>
      </w:r>
      <w:r>
        <w:br/>
      </w:r>
      <w:r>
        <w:rPr>
          <w:b/>
          <w:bCs/>
        </w:rPr>
        <w:t xml:space="preserve">Date Published:</w:t>
      </w:r>
      <w:r>
        <w:t xml:space="preserve"> </w:t>
      </w:r>
      <w:r>
        <w:t xml:space="preserve">September 28, 2026</w:t>
      </w:r>
      <w:r>
        <w:br/>
      </w:r>
      <w:r>
        <w:rPr>
          <w:b/>
          <w:bCs/>
        </w:rPr>
        <w:t xml:space="preserve">Brief Relevance:</w:t>
      </w:r>
      <w:r>
        <w:t xml:space="preserve"> </w:t>
      </w:r>
      <w:r>
        <w:t xml:space="preserve">Summarized institutional ownership trends (104 hedge fund holders managing $11.6B) and synthesized market reactions to multiple target revisions.</w:t>
      </w:r>
    </w:p>
    <w:p>
      <w:r>
        <w:br w:type="page"/>
      </w:r>
    </w:p>
    <w:bookmarkEnd w:id="45"/>
    <w:bookmarkEnd w:id="46"/>
    <w:bookmarkStart w:id="61" w:name="X4899c2453e44a82a7b35b43d4ae20e3bc7bd912"/>
    <w:p>
      <w:pPr>
        <w:pStyle w:val="Heading1"/>
      </w:pPr>
      <w:r>
        <w:t xml:space="preserve">Appendix C: Long-Term Strategies (Gemini educational scenario)</w:t>
      </w:r>
    </w:p>
    <w:bookmarkStart w:id="54" w:name="part-1-investment-thesis"/>
    <w:p>
      <w:pPr>
        <w:pStyle w:val="Heading2"/>
      </w:pPr>
      <w:r>
        <w:t xml:space="preserve">Part 1: Investment Thesis</w:t>
      </w:r>
    </w:p>
    <w:bookmarkStart w:id="47" w:name="business-quality-competitive-moat"/>
    <w:p>
      <w:pPr>
        <w:pStyle w:val="Heading3"/>
      </w:pPr>
      <w:r>
        <w:t xml:space="preserve">Business Quality &amp; Competitive Moat</w:t>
      </w:r>
    </w:p>
    <w:p>
      <w:pPr>
        <w:pStyle w:val="FirstParagraph"/>
      </w:pPr>
      <w:r>
        <w:t xml:space="preserve">Costco Wholesale Corporation (COST) operates an international chain of membership warehouses designed to deliver high merchandise volumes at ultra-low gross margins. Rather than extracting profit through high unit markups, Costco functions fundamentally as a purchasing cooperative: it leverages immense procurement scale to negotiate rock-bottom unit pricing, caps gross margins at roughly 11% to 14%, and passes nearly all supply-chain efficiencies directly back to customers.</w:t>
      </w:r>
    </w:p>
    <w:p>
      <w:pPr>
        <w:pStyle w:val="BodyText"/>
      </w:pPr>
      <w:r>
        <w:t xml:space="preserve">The core economic engine of the business is its subscription membership model. In FY2026, Costco generated $5.91 billion in membership fees, which accounted for more than half of its $11.69 billion in consolidated operating income. This recurring, upfront cash inflow insulates the business from retail inventory markdowns, funds continuous pricing investments, and aligns the company’s incentives with member retention.</w:t>
      </w:r>
    </w:p>
    <w:p>
      <w:pPr>
        <w:pStyle w:val="BodyText"/>
      </w:pPr>
      <w:r>
        <w:t xml:space="preserve">Costco’s economic moat is protected by three structural pillars:</w:t>
      </w:r>
      <w:r>
        <w:t xml:space="preserve"> </w:t>
      </w:r>
      <w:r>
        <w:t xml:space="preserve">1.</w:t>
      </w:r>
      <w:r>
        <w:t xml:space="preserve"> </w:t>
      </w:r>
      <w:r>
        <w:rPr>
          <w:b/>
          <w:bCs/>
        </w:rPr>
        <w:t xml:space="preserve">Scale Economies and Negative Working Capital Flywheel:</w:t>
      </w:r>
      <w:r>
        <w:t xml:space="preserve"> </w:t>
      </w:r>
      <w:r>
        <w:t xml:space="preserve">Inventory ($19.32B in FY2026) turns so rapidly that it is predominantly financed by accounts payable ($22.59B). Costco often sells and collects cash on goods before it ever has to pay its vendors, generating an extraordinary cash conversion cycle and superior structural return on equity (27.8% in FY2025; 28.4% in FY2026).</w:t>
      </w:r>
      <w:r>
        <w:t xml:space="preserve"> </w:t>
      </w:r>
      <w:r>
        <w:t xml:space="preserve">2.</w:t>
      </w:r>
      <w:r>
        <w:t xml:space="preserve"> </w:t>
      </w:r>
      <w:r>
        <w:rPr>
          <w:b/>
          <w:bCs/>
        </w:rPr>
        <w:t xml:space="preserve">Extreme Customer Loyalty and Switching Costs:</w:t>
      </w:r>
      <w:r>
        <w:t xml:space="preserve"> </w:t>
      </w:r>
      <w:r>
        <w:t xml:space="preserve">Renewal rates stand at an industry-leading 92.3% across the U.S. and Canada, with total cardholders reaching 84.1 million. The annual membership fee acts as a psychological commitment mechanism that drives repeat warehouse foot traffic.</w:t>
      </w:r>
      <w:r>
        <w:t xml:space="preserve"> </w:t>
      </w:r>
      <w:r>
        <w:t xml:space="preserve">3.</w:t>
      </w:r>
      <w:r>
        <w:t xml:space="preserve"> </w:t>
      </w:r>
      <w:r>
        <w:rPr>
          <w:b/>
          <w:bCs/>
        </w:rPr>
        <w:t xml:space="preserve">Private Label Dominance (Kirkland Signature):</w:t>
      </w:r>
      <w:r>
        <w:t xml:space="preserve"> </w:t>
      </w:r>
      <w:r>
        <w:t xml:space="preserve">By curating limited stock keeping units (SKUs) (~4,000 per warehouse vs. 30,000–100,000+ at traditional grocers and supercenters), Costco commands massive purchase leverage with suppliers while offering its high-margin, high-trust Kirkland brand to fortify customer retention.</w:t>
      </w:r>
    </w:p>
    <w:p>
      <w:r>
        <w:pict>
          <v:rect style="width:0;height:1.5pt" o:hralign="center" o:hrstd="t" o:hr="t"/>
        </w:pict>
      </w:r>
    </w:p>
    <w:bookmarkEnd w:id="47"/>
    <w:bookmarkStart w:id="48" w:name="financial-trajectory"/>
    <w:p>
      <w:pPr>
        <w:pStyle w:val="Heading3"/>
      </w:pPr>
      <w:r>
        <w:t xml:space="preserve">Financial Trajectory</w:t>
      </w:r>
    </w:p>
    <w:p>
      <w:pPr>
        <w:pStyle w:val="FirstParagraph"/>
      </w:pPr>
      <w:r>
        <w:t xml:space="preserve">Over the past decade (FY2016–FY2026), Costco has demonstrated compounding operational power:</w:t>
      </w:r>
      <w:r>
        <w:t xml:space="preserve"> </w:t>
      </w:r>
      <w:r>
        <w:t xml:space="preserve">*</w:t>
      </w:r>
      <w:r>
        <w:t xml:space="preserve"> </w:t>
      </w:r>
      <w:r>
        <w:rPr>
          <w:b/>
          <w:bCs/>
        </w:rPr>
        <w:t xml:space="preserve">Revenue Growth:</w:t>
      </w:r>
      <w:r>
        <w:t xml:space="preserve"> </w:t>
      </w:r>
      <w:r>
        <w:t xml:space="preserve">Total revenue compounded from $118.72 billion in FY2016 to $303.15 billion in FY2026 (+10.1% YoY in FY2026, with adjusted comparable sales up 6.6%).</w:t>
      </w:r>
      <w:r>
        <w:t xml:space="preserve"> </w:t>
      </w:r>
      <w:r>
        <w:t xml:space="preserve">*</w:t>
      </w:r>
      <w:r>
        <w:t xml:space="preserve"> </w:t>
      </w:r>
      <w:r>
        <w:rPr>
          <w:b/>
          <w:bCs/>
        </w:rPr>
        <w:t xml:space="preserve">Margin Expansion:</w:t>
      </w:r>
      <w:r>
        <w:t xml:space="preserve"> </w:t>
      </w:r>
      <w:r>
        <w:t xml:space="preserve">Despite persistent reinvestment into low prices, Costco’s operating margin expanded from 3.1% in FY2016 to 3.9% in FY2026, driven by SG&amp;A leverage and membership growth. Net margins edged up from 2.0% to 3.0%.</w:t>
      </w:r>
      <w:r>
        <w:t xml:space="preserve"> </w:t>
      </w:r>
      <w:r>
        <w:t xml:space="preserve">*</w:t>
      </w:r>
      <w:r>
        <w:t xml:space="preserve"> </w:t>
      </w:r>
      <w:r>
        <w:rPr>
          <w:b/>
          <w:bCs/>
        </w:rPr>
        <w:t xml:space="preserve">Earnings &amp; Cash Flow Compounding:</w:t>
      </w:r>
      <w:r>
        <w:t xml:space="preserve"> </w:t>
      </w:r>
      <w:r>
        <w:t xml:space="preserve">Diluted EPS expanded nearly fourfold from $5.33 in FY2016 to $20.76 in FY2026 (+14.0% YoY). Operating cash flow reached $15.83 billion in FY2026, driving Free Cash Flow (FCF) up 19.8% to $9.39 billion (up from $7.84 billion in FY2025 and $6.63 billion in FY2024).</w:t>
      </w:r>
      <w:r>
        <w:t xml:space="preserve"> </w:t>
      </w:r>
      <w:r>
        <w:t xml:space="preserve">*</w:t>
      </w:r>
      <w:r>
        <w:t xml:space="preserve"> </w:t>
      </w:r>
      <w:r>
        <w:rPr>
          <w:b/>
          <w:bCs/>
        </w:rPr>
        <w:t xml:space="preserve">Fortress Balance Sheet:</w:t>
      </w:r>
      <w:r>
        <w:t xml:space="preserve"> </w:t>
      </w:r>
      <w:r>
        <w:t xml:space="preserve">As of August 30, 2026, Costco held $20.21 billion in cash and cash equivalents, alongside $1.09 billion in short-term investments, against total debt of $6.16 billion ($3.91 billion in long-term debt and $2.25 billion in current portion of debt). The resulting net-cash surplus of over $15.1 billion leaves the company with extraordinary balance-sheet resilience and self-funded expansion capabilities.</w:t>
      </w:r>
    </w:p>
    <w:p>
      <w:r>
        <w:pict>
          <v:rect style="width:0;height:1.5pt" o:hralign="center" o:hrstd="t" o:hr="t"/>
        </w:pict>
      </w:r>
    </w:p>
    <w:bookmarkEnd w:id="48"/>
    <w:bookmarkStart w:id="49" w:name="Xd1d0e3b11b091f2e303d2d72fc0209ba2806c91"/>
    <w:p>
      <w:pPr>
        <w:pStyle w:val="Heading3"/>
      </w:pPr>
      <w:r>
        <w:t xml:space="preserve">Valuation Assessment (as of September 29, 2026)</w:t>
      </w:r>
    </w:p>
    <w:p>
      <w:pPr>
        <w:pStyle w:val="FirstParagraph"/>
      </w:pPr>
      <w:r>
        <w:t xml:space="preserve">Costco trades at</w:t>
      </w:r>
      <w:r>
        <w:t xml:space="preserve"> </w:t>
      </w:r>
      <w:r>
        <w:rPr>
          <w:b/>
          <w:bCs/>
        </w:rPr>
        <w:t xml:space="preserve">$921.99 per share</w:t>
      </w:r>
      <w:r>
        <w:t xml:space="preserve"> </w:t>
      </w:r>
      <w:r>
        <w:t xml:space="preserve">($409.30 billion market capitalization), which represents:</w:t>
      </w:r>
      <w:r>
        <w:t xml:space="preserve"> </w:t>
      </w:r>
      <w:r>
        <w:t xml:space="preserve">*</w:t>
      </w:r>
      <w:r>
        <w:t xml:space="preserve"> </w:t>
      </w:r>
      <w:r>
        <w:rPr>
          <w:b/>
          <w:bCs/>
        </w:rPr>
        <w:t xml:space="preserve">Trailing P/E Ratio:</w:t>
      </w:r>
      <w:r>
        <w:t xml:space="preserve"> </w:t>
      </w:r>
      <w:r>
        <w:rPr>
          <w:b/>
          <w:bCs/>
        </w:rPr>
        <w:t xml:space="preserve">44.45x</w:t>
      </w:r>
      <w:r>
        <w:t xml:space="preserve"> </w:t>
      </w:r>
      <w:r>
        <w:t xml:space="preserve">(based on FY2026 EPS of $20.76).</w:t>
      </w:r>
      <w:r>
        <w:t xml:space="preserve"> </w:t>
      </w:r>
      <w:r>
        <w:t xml:space="preserve">*</w:t>
      </w:r>
      <w:r>
        <w:t xml:space="preserve"> </w:t>
      </w:r>
      <w:r>
        <w:rPr>
          <w:b/>
          <w:bCs/>
        </w:rPr>
        <w:t xml:space="preserve">Forward P/E Ratio:</w:t>
      </w:r>
      <w:r>
        <w:t xml:space="preserve"> </w:t>
      </w:r>
      <w:r>
        <w:rPr>
          <w:b/>
          <w:bCs/>
        </w:rPr>
        <w:t xml:space="preserve">39.3x – 42.4x</w:t>
      </w:r>
      <w:r>
        <w:t xml:space="preserve"> </w:t>
      </w:r>
      <w:r>
        <w:t xml:space="preserve">(based on consensus FY2027 EPS of ~$22.78).</w:t>
      </w:r>
      <w:r>
        <w:t xml:space="preserve"> </w:t>
      </w:r>
      <w:r>
        <w:t xml:space="preserve">*</w:t>
      </w:r>
      <w:r>
        <w:t xml:space="preserve"> </w:t>
      </w:r>
      <w:r>
        <w:rPr>
          <w:b/>
          <w:bCs/>
        </w:rPr>
        <w:t xml:space="preserve">Dividend Yield:</w:t>
      </w:r>
      <w:r>
        <w:t xml:space="preserve"> </w:t>
      </w:r>
      <w:r>
        <w:rPr>
          <w:b/>
          <w:bCs/>
        </w:rPr>
        <w:t xml:space="preserve">0.60% – 0.67%</w:t>
      </w:r>
      <w:r>
        <w:t xml:space="preserve"> </w:t>
      </w:r>
      <w:r>
        <w:t xml:space="preserve">(regular annualized payout of ~$5.20/share, excluding periodic special dividends).</w:t>
      </w:r>
    </w:p>
    <w:p>
      <w:pPr>
        <w:pStyle w:val="BodyText"/>
      </w:pPr>
      <w:r>
        <w:rPr>
          <w:b/>
          <w:bCs/>
        </w:rPr>
        <w:t xml:space="preserve">Valuation Context vs. History &amp; Peers:</w:t>
      </w:r>
      <w:r>
        <w:t xml:space="preserve"> </w:t>
      </w:r>
      <w:r>
        <w:t xml:space="preserve">*</w:t>
      </w:r>
      <w:r>
        <w:t xml:space="preserve"> </w:t>
      </w:r>
      <w:r>
        <w:rPr>
          <w:i/>
          <w:iCs/>
        </w:rPr>
        <w:t xml:space="preserve">Historical Context:</w:t>
      </w:r>
      <w:r>
        <w:t xml:space="preserve"> </w:t>
      </w:r>
      <w:r>
        <w:t xml:space="preserve">At ~44.5x trailing earnings, Costco is trading at a 17% premium to its 10-year median P/E of 38.04x and 14% above its 10-year mean of 39.51x. Although it has pulled back from euphoric peaks of ~62x seen in early 2025, it remains near the upper band of historical consumer staples valuations.</w:t>
      </w:r>
      <w:r>
        <w:t xml:space="preserve"> </w:t>
      </w:r>
      <w:r>
        <w:t xml:space="preserve">*</w:t>
      </w:r>
      <w:r>
        <w:t xml:space="preserve"> </w:t>
      </w:r>
      <w:r>
        <w:rPr>
          <w:i/>
          <w:iCs/>
        </w:rPr>
        <w:t xml:space="preserve">Peer Group Context:</w:t>
      </w:r>
      <w:r>
        <w:t xml:space="preserve"> </w:t>
      </w:r>
      <w:r>
        <w:t xml:space="preserve">Costco commands an enormous premium relative to direct peers: Walmart trades at ~38.8x–39.0x trailing P/E, BJ’s Wholesale Club trades at ~20.5x, and Target trades at ~16.3x.</w:t>
      </w:r>
    </w:p>
    <w:p>
      <w:pPr>
        <w:pStyle w:val="BodyText"/>
      </w:pPr>
      <w:r>
        <w:rPr>
          <w:b/>
          <w:bCs/>
        </w:rPr>
        <w:t xml:space="preserve">Conclusion on Price:</w:t>
      </w:r>
      <w:r>
        <w:t xml:space="preserve"> </w:t>
      </w:r>
      <w:r>
        <w:t xml:space="preserve">Current market pricing already reflects an immense degree of operational excellence and execution consistency. At &gt;44x earnings, the market is pricing Costco as an untouchable recurring-revenue compounder. Because multiple expansion from these levels is improbable, total shareholder return over the coming decade will be almost entirely capped by underlying business growth (EPS growth around 9%–12%) minus any multiple contraction toward historical norms.</w:t>
      </w:r>
    </w:p>
    <w:p>
      <w:r>
        <w:pict>
          <v:rect style="width:0;height:1.5pt" o:hralign="center" o:hrstd="t" o:hr="t"/>
        </w:pict>
      </w:r>
    </w:p>
    <w:bookmarkEnd w:id="49"/>
    <w:bookmarkStart w:id="52" w:name="bull-and-bear-cases"/>
    <w:p>
      <w:pPr>
        <w:pStyle w:val="Heading3"/>
      </w:pPr>
      <w:r>
        <w:t xml:space="preserve">Bull and Bear Cases</w:t>
      </w:r>
    </w:p>
    <w:bookmarkStart w:id="50" w:name="bull-case"/>
    <w:p>
      <w:pPr>
        <w:pStyle w:val="Heading4"/>
      </w:pPr>
      <w:r>
        <w:t xml:space="preserve">Bull Case</w:t>
      </w:r>
    </w:p>
    <w:p>
      <w:pPr>
        <w:pStyle w:val="Compact"/>
        <w:numPr>
          <w:ilvl w:val="0"/>
          <w:numId w:val="1044"/>
        </w:numPr>
      </w:pPr>
      <w:r>
        <w:rPr>
          <w:b/>
          <w:bCs/>
        </w:rPr>
        <w:t xml:space="preserve">International Runway &amp; Infill Economics:</w:t>
      </w:r>
      <w:r>
        <w:t xml:space="preserve"> </w:t>
      </w:r>
      <w:r>
        <w:t xml:space="preserve">With only 939 warehouses globally (and fewer than 300 outside the U.S. and Canada), Costco has multi-decade expansion headroom in international markets where membership adoption has shown strong unit economics.</w:t>
      </w:r>
    </w:p>
    <w:p>
      <w:pPr>
        <w:pStyle w:val="Compact"/>
        <w:numPr>
          <w:ilvl w:val="0"/>
          <w:numId w:val="1044"/>
        </w:numPr>
      </w:pPr>
      <w:r>
        <w:rPr>
          <w:b/>
          <w:bCs/>
        </w:rPr>
        <w:t xml:space="preserve">Digital Omnichannel &amp; Delivery Monetization:</w:t>
      </w:r>
      <w:r>
        <w:t xml:space="preserve"> </w:t>
      </w:r>
      <w:r>
        <w:t xml:space="preserve">Digitally-enabled sales surged 19.5% in Q4 FY2026 (annual run rate exceeding $33B). Nationwide rollouts with platforms like DoorDash and Uber capture younger, convenience-oriented demographics without diluting warehouse margins.</w:t>
      </w:r>
    </w:p>
    <w:p>
      <w:pPr>
        <w:pStyle w:val="Compact"/>
        <w:numPr>
          <w:ilvl w:val="0"/>
          <w:numId w:val="1044"/>
        </w:numPr>
      </w:pPr>
      <w:r>
        <w:rPr>
          <w:b/>
          <w:bCs/>
        </w:rPr>
        <w:t xml:space="preserve">Monetizable Pricing Power &amp; Balance Sheet Returns:</w:t>
      </w:r>
      <w:r>
        <w:t xml:space="preserve"> </w:t>
      </w:r>
      <w:r>
        <w:t xml:space="preserve">With renewal rates at an astonishing 92.3%, Costco can periodically raise membership fees without churn. Backed by $20.21B in cash and net cash flow generation, it has the liquidity to issue recurring, large special dividends (e.g., repeating the $15.00/share special distribution from FY2024) or accelerate buybacks.</w:t>
      </w:r>
    </w:p>
    <w:bookmarkEnd w:id="50"/>
    <w:bookmarkStart w:id="51" w:name="bear-case"/>
    <w:p>
      <w:pPr>
        <w:pStyle w:val="Heading4"/>
      </w:pPr>
      <w:r>
        <w:t xml:space="preserve">Bear Case</w:t>
      </w:r>
    </w:p>
    <w:p>
      <w:pPr>
        <w:pStyle w:val="Compact"/>
        <w:numPr>
          <w:ilvl w:val="0"/>
          <w:numId w:val="1045"/>
        </w:numPr>
      </w:pPr>
      <w:r>
        <w:rPr>
          <w:b/>
          <w:bCs/>
        </w:rPr>
        <w:t xml:space="preserve">Severe Valuation Vulnerability:</w:t>
      </w:r>
      <w:r>
        <w:t xml:space="preserve"> </w:t>
      </w:r>
      <w:r>
        <w:t xml:space="preserve">Trading at ~44.5x trailing earnings, any deceleration in comparable store sales, warehouse openings, or margin compression could trigger a sharp derating toward its 10-year median (38x) or closer to broad retail averages (20x–25x), severely muting multi-year capital gains.</w:t>
      </w:r>
    </w:p>
    <w:p>
      <w:pPr>
        <w:pStyle w:val="Compact"/>
        <w:numPr>
          <w:ilvl w:val="0"/>
          <w:numId w:val="1045"/>
        </w:numPr>
      </w:pPr>
      <w:r>
        <w:rPr>
          <w:b/>
          <w:bCs/>
        </w:rPr>
        <w:t xml:space="preserve">Slowing Membership Household Growth:</w:t>
      </w:r>
      <w:r>
        <w:t xml:space="preserve"> </w:t>
      </w:r>
      <w:r>
        <w:t xml:space="preserve">Paid membership growth moderated to 3.8% YoY in Q4 FY2026. A strategic pause on new Asian warehouse openings until 2028 and an increasing reliance on domestic infill could cannibalize existing locations and cap top-line comp acceleration.</w:t>
      </w:r>
    </w:p>
    <w:p>
      <w:pPr>
        <w:pStyle w:val="Compact"/>
        <w:numPr>
          <w:ilvl w:val="0"/>
          <w:numId w:val="1045"/>
        </w:numPr>
      </w:pPr>
      <w:r>
        <w:rPr>
          <w:b/>
          <w:bCs/>
        </w:rPr>
        <w:t xml:space="preserve">Merchandise Cost Inflation and Labor Squeeze:</w:t>
      </w:r>
      <w:r>
        <w:t xml:space="preserve"> </w:t>
      </w:r>
      <w:r>
        <w:t xml:space="preserve">The $152M LIFO inventory charge in Q4 FY2026 highlighted input cost pressure in technology hardware and electronics. Concurrently, wage inflation and competitive entry wages across logistics and retail could pressure Costco’s slim 3.9% operating margin.</w:t>
      </w:r>
    </w:p>
    <w:p>
      <w:r>
        <w:pict>
          <v:rect style="width:0;height:1.5pt" o:hralign="center" o:hrstd="t" o:hr="t"/>
        </w:pict>
      </w:r>
    </w:p>
    <w:bookmarkEnd w:id="51"/>
    <w:bookmarkEnd w:id="52"/>
    <w:bookmarkStart w:id="53" w:name="X71d2094239c6d692e1a0249a14ff42c2babf066"/>
    <w:p>
      <w:pPr>
        <w:pStyle w:val="Heading3"/>
      </w:pPr>
      <w:r>
        <w:t xml:space="preserve">What Must Be True for COST to Be a Good 10+ Year Investment from Today’s Price</w:t>
      </w:r>
    </w:p>
    <w:p>
      <w:pPr>
        <w:pStyle w:val="FirstParagraph"/>
      </w:pPr>
      <w:r>
        <w:t xml:space="preserve">For an investor with a 10+ year horizon to achieve market-matching or market-beating returns (8%–11% annualized) from an entry price of ~$922, the following must occur:</w:t>
      </w:r>
      <w:r>
        <w:t xml:space="preserve"> </w:t>
      </w:r>
      <w:r>
        <w:t xml:space="preserve">1.</w:t>
      </w:r>
      <w:r>
        <w:t xml:space="preserve"> </w:t>
      </w:r>
      <w:r>
        <w:rPr>
          <w:b/>
          <w:bCs/>
        </w:rPr>
        <w:t xml:space="preserve">High-Single-Digit to Low-Double-Digit EPS Compounding:</w:t>
      </w:r>
      <w:r>
        <w:t xml:space="preserve"> </w:t>
      </w:r>
      <w:r>
        <w:t xml:space="preserve">Net income and EPS must compound at 10%–12% per year, requiring revenue to maintain 7%–9% CAGR via steady warehouse openings (25–35 net new units per year) and 5%+ blended comp sales.</w:t>
      </w:r>
      <w:r>
        <w:t xml:space="preserve"> </w:t>
      </w:r>
      <w:r>
        <w:t xml:space="preserve">2.</w:t>
      </w:r>
      <w:r>
        <w:t xml:space="preserve"> </w:t>
      </w:r>
      <w:r>
        <w:rPr>
          <w:b/>
          <w:bCs/>
        </w:rPr>
        <w:t xml:space="preserve">Sustained Membership Pricing Power:</w:t>
      </w:r>
      <w:r>
        <w:t xml:space="preserve"> </w:t>
      </w:r>
      <w:r>
        <w:t xml:space="preserve">Renewal rates must remain comfortably above 90%, and Executive member adoption (currently growing at 9.4%) must continue to expand, enabling regular fee increases every 5 to 6 years with virtually zero attrition.</w:t>
      </w:r>
      <w:r>
        <w:t xml:space="preserve"> </w:t>
      </w:r>
      <w:r>
        <w:t xml:space="preserve">3.</w:t>
      </w:r>
      <w:r>
        <w:t xml:space="preserve"> </w:t>
      </w:r>
      <w:r>
        <w:rPr>
          <w:b/>
          <w:bCs/>
        </w:rPr>
        <w:t xml:space="preserve">Controlled Multiple Contraction:</w:t>
      </w:r>
      <w:r>
        <w:t xml:space="preserve"> </w:t>
      </w:r>
      <w:r>
        <w:t xml:space="preserve">Valuation derating must be gradual. If Costco’s terminal P/E contracts from ~44.5x to ~30x–33x over a decade, EPS growth of ~11% would result in an annualized share price return of ~7.5%–8.0%, which, when combined with regular and occasional special dividends, yields total returns of ~9%–10%. If the multiple falls to peer levels (~22x–25x), shareholder returns would be severely degraded.</w:t>
      </w:r>
    </w:p>
    <w:p>
      <w:r>
        <w:pict>
          <v:rect style="width:0;height:1.5pt" o:hralign="center" o:hrstd="t" o:hr="t"/>
        </w:pict>
      </w:r>
    </w:p>
    <w:bookmarkEnd w:id="53"/>
    <w:bookmarkEnd w:id="54"/>
    <w:bookmarkStart w:id="59" w:name="part-2-long-term-approaches"/>
    <w:p>
      <w:pPr>
        <w:pStyle w:val="Heading2"/>
      </w:pPr>
      <w:r>
        <w:t xml:space="preserve">Part 2: Long-Term Approaches</w:t>
      </w:r>
    </w:p>
    <w:p>
      <w:pPr>
        <w:pStyle w:val="FirstParagraph"/>
      </w:pPr>
      <w:r>
        <w:t xml:space="preserve">Given your</w:t>
      </w:r>
      <w:r>
        <w:t xml:space="preserve"> </w:t>
      </w:r>
      <w:r>
        <w:rPr>
          <w:b/>
          <w:bCs/>
        </w:rPr>
        <w:t xml:space="preserve">moderate risk attitude</w:t>
      </w:r>
      <w:r>
        <w:t xml:space="preserve"> </w:t>
      </w:r>
      <w:r>
        <w:t xml:space="preserve">and</w:t>
      </w:r>
      <w:r>
        <w:t xml:space="preserve"> </w:t>
      </w:r>
      <w:r>
        <w:rPr>
          <w:b/>
          <w:bCs/>
        </w:rPr>
        <w:t xml:space="preserve">10+ year horizon</w:t>
      </w:r>
      <w:r>
        <w:t xml:space="preserve">, capital preservation and valuation discipline are paramount. Costco is an exceptional business, but its current valuation demands structured risk management to avoid overpaying at historical highs.</w:t>
      </w:r>
    </w:p>
    <w:p>
      <w:r>
        <w:pict>
          <v:rect style="width:0;height:1.5pt" o:hralign="center" o:hrstd="t" o:hr="t"/>
        </w:pict>
      </w:r>
    </w:p>
    <w:bookmarkStart w:id="55" w:name="Xa6d30106e59d6fadfa9d00159a35e055a7430a1"/>
    <w:p>
      <w:pPr>
        <w:pStyle w:val="Heading3"/>
      </w:pPr>
      <w:r>
        <w:t xml:space="preserve">Approach 1: Disciplined Value Accumulation (Targeted Entry Below 38x P/E)</w:t>
      </w:r>
    </w:p>
    <w:p>
      <w:pPr>
        <w:pStyle w:val="Compact"/>
        <w:numPr>
          <w:ilvl w:val="0"/>
          <w:numId w:val="1046"/>
        </w:numPr>
      </w:pPr>
      <w:r>
        <w:rPr>
          <w:b/>
          <w:bCs/>
        </w:rPr>
        <w:t xml:space="preserve">Rationale:</w:t>
      </w:r>
      <w:r>
        <w:t xml:space="preserve"> </w:t>
      </w:r>
      <w:r>
        <w:t xml:space="preserve">Costco is one of the highest-quality compounders in global equity markets, with a 28%+ ROE and a net cash balance sheet. However, initiating a full position at ~44.5x trailing P/E leaves no margin of safety. A patient approach waiting for or accumulating within Costco’s historical 10-year valuation median (38x P/E) insulates moderate-risk investors against multiple compression.</w:t>
      </w:r>
    </w:p>
    <w:p>
      <w:pPr>
        <w:pStyle w:val="Compact"/>
        <w:numPr>
          <w:ilvl w:val="0"/>
          <w:numId w:val="1046"/>
        </w:numPr>
      </w:pPr>
      <w:r>
        <w:rPr>
          <w:b/>
          <w:bCs/>
        </w:rPr>
        <w:t xml:space="preserve">Fit with User Profile:</w:t>
      </w:r>
      <w:r>
        <w:t xml:space="preserve"> </w:t>
      </w:r>
      <w:r>
        <w:t xml:space="preserve">Ideal for a moderate-risk investor with a 10+ year horizon who wants exposure to an elite compounding franchise without taking on top-of-cycle multiple risk.</w:t>
      </w:r>
    </w:p>
    <w:p>
      <w:pPr>
        <w:pStyle w:val="Compact"/>
        <w:numPr>
          <w:ilvl w:val="0"/>
          <w:numId w:val="1046"/>
        </w:numPr>
      </w:pPr>
      <w:r>
        <w:rPr>
          <w:b/>
          <w:bCs/>
        </w:rPr>
        <w:t xml:space="preserve">Suggested Maximum Allocation:</w:t>
      </w:r>
      <w:r>
        <w:t xml:space="preserve"> </w:t>
      </w:r>
      <w:r>
        <w:rPr>
          <w:b/>
          <w:bCs/>
        </w:rPr>
        <w:t xml:space="preserve">5.0% to 6.0%</w:t>
      </w:r>
      <w:r>
        <w:t xml:space="preserve"> </w:t>
      </w:r>
      <w:r>
        <w:t xml:space="preserve">of total portfolio.</w:t>
      </w:r>
    </w:p>
    <w:p>
      <w:pPr>
        <w:pStyle w:val="Compact"/>
        <w:numPr>
          <w:ilvl w:val="0"/>
          <w:numId w:val="1046"/>
        </w:numPr>
      </w:pPr>
      <w:r>
        <w:rPr>
          <w:b/>
          <w:bCs/>
        </w:rPr>
        <w:t xml:space="preserve">Reasonable Entry Range or Condition:</w:t>
      </w:r>
      <w:r>
        <w:t xml:space="preserve"> </w:t>
      </w:r>
      <w:r>
        <w:rPr>
          <w:b/>
          <w:bCs/>
        </w:rPr>
        <w:t xml:space="preserve">$750 – $830</w:t>
      </w:r>
      <w:r>
        <w:t xml:space="preserve"> </w:t>
      </w:r>
      <w:r>
        <w:t xml:space="preserve">(corresponds to ~36x–40x FY2026 EPS of $20.76, aligning with Costco’s 10-year median trailing P/E of ~38.0x).</w:t>
      </w:r>
    </w:p>
    <w:p>
      <w:pPr>
        <w:pStyle w:val="Compact"/>
        <w:numPr>
          <w:ilvl w:val="0"/>
          <w:numId w:val="1046"/>
        </w:numPr>
      </w:pPr>
      <w:r>
        <w:rPr>
          <w:b/>
          <w:bCs/>
        </w:rPr>
        <w:t xml:space="preserve">What to Monitor in Future Filings:</w:t>
      </w:r>
    </w:p>
    <w:p>
      <w:pPr>
        <w:pStyle w:val="Compact"/>
        <w:numPr>
          <w:ilvl w:val="1"/>
          <w:numId w:val="1047"/>
        </w:numPr>
      </w:pPr>
      <w:r>
        <w:t xml:space="preserve">Operating margin stability: Concern if operating margin falls below 3.5% (from 3.9%).</w:t>
      </w:r>
    </w:p>
    <w:p>
      <w:pPr>
        <w:pStyle w:val="Compact"/>
        <w:numPr>
          <w:ilvl w:val="1"/>
          <w:numId w:val="1047"/>
        </w:numPr>
      </w:pPr>
      <w:r>
        <w:t xml:space="preserve">Free cash flow generation: Concern if annual FCF slips below $7.0B without elevated growth capex.</w:t>
      </w:r>
    </w:p>
    <w:p>
      <w:pPr>
        <w:pStyle w:val="Compact"/>
        <w:numPr>
          <w:ilvl w:val="1"/>
          <w:numId w:val="1047"/>
        </w:numPr>
      </w:pPr>
      <w:r>
        <w:t xml:space="preserve">Membership fee income: Concern if membership revenue growth decelerates below 5.0% YoY.</w:t>
      </w:r>
    </w:p>
    <w:p>
      <w:pPr>
        <w:pStyle w:val="Compact"/>
        <w:numPr>
          <w:ilvl w:val="0"/>
          <w:numId w:val="1046"/>
        </w:numPr>
      </w:pPr>
      <w:r>
        <w:rPr>
          <w:b/>
          <w:bCs/>
        </w:rPr>
        <w:t xml:space="preserve">Thesis Broken If:</w:t>
      </w:r>
      <w:r>
        <w:t xml:space="preserve"> </w:t>
      </w:r>
      <w:r>
        <w:t xml:space="preserve">Membership renewal rates in the U.S. and Canada breach 88% on a sustained basis, signaling an erosion of customer loyalty, or if negative working capital dynamics invert (AP consistently below inventory levels).</w:t>
      </w:r>
    </w:p>
    <w:p>
      <w:pPr>
        <w:pStyle w:val="Compact"/>
        <w:numPr>
          <w:ilvl w:val="0"/>
          <w:numId w:val="1046"/>
        </w:numPr>
      </w:pPr>
      <w:r>
        <w:rPr>
          <w:b/>
          <w:bCs/>
        </w:rPr>
        <w:t xml:space="preserve">Main Risks:</w:t>
      </w:r>
      <w:r>
        <w:t xml:space="preserve"> </w:t>
      </w:r>
      <w:r>
        <w:t xml:space="preserve">Opportunity risk—shares may maintain an elevated multiple for an extended period, preventing full position deployment.</w:t>
      </w:r>
    </w:p>
    <w:p>
      <w:r>
        <w:pict>
          <v:rect style="width:0;height:1.5pt" o:hralign="center" o:hrstd="t" o:hr="t"/>
        </w:pict>
      </w:r>
    </w:p>
    <w:bookmarkEnd w:id="55"/>
    <w:bookmarkStart w:id="56" w:name="X6129967634712f0098da326c938660577c72f26"/>
    <w:p>
      <w:pPr>
        <w:pStyle w:val="Heading3"/>
      </w:pPr>
      <w:r>
        <w:t xml:space="preserve">Approach 2: Systematic Dollar-Cost Averaging (12- to 18-Month Tranche Schedule)</w:t>
      </w:r>
    </w:p>
    <w:p>
      <w:pPr>
        <w:pStyle w:val="Compact"/>
        <w:numPr>
          <w:ilvl w:val="0"/>
          <w:numId w:val="1048"/>
        </w:numPr>
      </w:pPr>
      <w:r>
        <w:rPr>
          <w:b/>
          <w:bCs/>
        </w:rPr>
        <w:t xml:space="preserve">Rationale:</w:t>
      </w:r>
      <w:r>
        <w:t xml:space="preserve"> </w:t>
      </w:r>
      <w:r>
        <w:t xml:space="preserve">Timing pullbacks in elite franchises like Costco can be notoriously difficult, as institutional demand consistently supports the stock on minor dips. By deploying capital systematically across 12 to 18 equal monthly tranches, an investor neutralizes short-term valuation noise, captures any broader market corrections, and builds an anchor position over time.</w:t>
      </w:r>
    </w:p>
    <w:p>
      <w:pPr>
        <w:pStyle w:val="Compact"/>
        <w:numPr>
          <w:ilvl w:val="0"/>
          <w:numId w:val="1048"/>
        </w:numPr>
      </w:pPr>
      <w:r>
        <w:rPr>
          <w:b/>
          <w:bCs/>
        </w:rPr>
        <w:t xml:space="preserve">Fit with User Profile:</w:t>
      </w:r>
      <w:r>
        <w:t xml:space="preserve"> </w:t>
      </w:r>
      <w:r>
        <w:t xml:space="preserve">Highly complementary to a moderate-risk investor with a multi-decade horizon who prioritizes emotional discipline and volatility reduction over market timing.</w:t>
      </w:r>
    </w:p>
    <w:p>
      <w:pPr>
        <w:pStyle w:val="Compact"/>
        <w:numPr>
          <w:ilvl w:val="0"/>
          <w:numId w:val="1048"/>
        </w:numPr>
      </w:pPr>
      <w:r>
        <w:rPr>
          <w:b/>
          <w:bCs/>
        </w:rPr>
        <w:t xml:space="preserve">Suggested Maximum Allocation:</w:t>
      </w:r>
      <w:r>
        <w:t xml:space="preserve"> </w:t>
      </w:r>
      <w:r>
        <w:rPr>
          <w:b/>
          <w:bCs/>
        </w:rPr>
        <w:t xml:space="preserve">4.0% to 5.0%</w:t>
      </w:r>
      <w:r>
        <w:t xml:space="preserve"> </w:t>
      </w:r>
      <w:r>
        <w:t xml:space="preserve">of total portfolio.</w:t>
      </w:r>
    </w:p>
    <w:p>
      <w:pPr>
        <w:pStyle w:val="Compact"/>
        <w:numPr>
          <w:ilvl w:val="0"/>
          <w:numId w:val="1048"/>
        </w:numPr>
      </w:pPr>
      <w:r>
        <w:rPr>
          <w:b/>
          <w:bCs/>
        </w:rPr>
        <w:t xml:space="preserve">Reasonable Entry Range or Condition:</w:t>
      </w:r>
      <w:r>
        <w:t xml:space="preserve"> </w:t>
      </w:r>
      <w:r>
        <w:t xml:space="preserve">Begin immediate tranche accumulation at current prices (~$922), with an automatic rule to double tranche purchases if the stock derates to under 38x P/E ($790 or lower). Pause additions if trailing P/E exceeds 50x.</w:t>
      </w:r>
    </w:p>
    <w:p>
      <w:pPr>
        <w:pStyle w:val="Compact"/>
        <w:numPr>
          <w:ilvl w:val="0"/>
          <w:numId w:val="1048"/>
        </w:numPr>
      </w:pPr>
      <w:r>
        <w:rPr>
          <w:b/>
          <w:bCs/>
        </w:rPr>
        <w:t xml:space="preserve">What to Monitor in Future Filings:</w:t>
      </w:r>
    </w:p>
    <w:p>
      <w:pPr>
        <w:pStyle w:val="Compact"/>
        <w:numPr>
          <w:ilvl w:val="1"/>
          <w:numId w:val="1049"/>
        </w:numPr>
      </w:pPr>
      <w:r>
        <w:t xml:space="preserve">Digitally-enabled comparable sales: Concern if digital comps dip below 10% YoY.</w:t>
      </w:r>
    </w:p>
    <w:p>
      <w:pPr>
        <w:pStyle w:val="Compact"/>
        <w:numPr>
          <w:ilvl w:val="1"/>
          <w:numId w:val="1049"/>
        </w:numPr>
      </w:pPr>
      <w:r>
        <w:t xml:space="preserve">Diluted share count: Concern if share count trends upward (share buybacks failing to offset stock-based compensation of ~$924M).</w:t>
      </w:r>
    </w:p>
    <w:p>
      <w:pPr>
        <w:pStyle w:val="Compact"/>
        <w:numPr>
          <w:ilvl w:val="1"/>
          <w:numId w:val="1049"/>
        </w:numPr>
      </w:pPr>
      <w:r>
        <w:t xml:space="preserve">Warehouse opening pace: Concern if net new warehouse additions fall below 20 units annually.</w:t>
      </w:r>
    </w:p>
    <w:p>
      <w:pPr>
        <w:pStyle w:val="Compact"/>
        <w:numPr>
          <w:ilvl w:val="0"/>
          <w:numId w:val="1048"/>
        </w:numPr>
      </w:pPr>
      <w:r>
        <w:rPr>
          <w:b/>
          <w:bCs/>
        </w:rPr>
        <w:t xml:space="preserve">Thesis Broken If:</w:t>
      </w:r>
      <w:r>
        <w:t xml:space="preserve"> </w:t>
      </w:r>
      <w:r>
        <w:t xml:space="preserve">Core adjusted comparable sales turn negative for two consecutive quarters, or operating margins compress below 3.0% due to permanent retail price wars.</w:t>
      </w:r>
    </w:p>
    <w:p>
      <w:pPr>
        <w:pStyle w:val="Compact"/>
        <w:numPr>
          <w:ilvl w:val="0"/>
          <w:numId w:val="1048"/>
        </w:numPr>
      </w:pPr>
      <w:r>
        <w:rPr>
          <w:b/>
          <w:bCs/>
        </w:rPr>
        <w:t xml:space="preserve">Main Risks:</w:t>
      </w:r>
      <w:r>
        <w:t xml:space="preserve"> </w:t>
      </w:r>
      <w:r>
        <w:t xml:space="preserve">Systematic buying at elevated entry multiples could drag down internal rate of return (IRR) if consumer staples endure prolonged broad-market multiple compression.</w:t>
      </w:r>
    </w:p>
    <w:p>
      <w:r>
        <w:pict>
          <v:rect style="width:0;height:1.5pt" o:hralign="center" o:hrstd="t" o:hr="t"/>
        </w:pict>
      </w:r>
    </w:p>
    <w:bookmarkEnd w:id="56"/>
    <w:bookmarkStart w:id="57" w:name="Xd9e98c74c1bd83438216dde87926b26f54e5aac"/>
    <w:p>
      <w:pPr>
        <w:pStyle w:val="Heading3"/>
      </w:pPr>
      <w:r>
        <w:t xml:space="preserve">Approach 3: Milestone-Gated Starter Position (Filing-Based Tranches)</w:t>
      </w:r>
    </w:p>
    <w:p>
      <w:pPr>
        <w:pStyle w:val="Compact"/>
        <w:numPr>
          <w:ilvl w:val="0"/>
          <w:numId w:val="1050"/>
        </w:numPr>
      </w:pPr>
      <w:r>
        <w:rPr>
          <w:b/>
          <w:bCs/>
        </w:rPr>
        <w:t xml:space="preserve">Rationale:</w:t>
      </w:r>
      <w:r>
        <w:t xml:space="preserve"> </w:t>
      </w:r>
      <w:r>
        <w:t xml:space="preserve">Rather than committing full capital today at 44.5x earnings, this approach establishes a modest 1.5%–2.0% starter position immediately to participate in ongoing business execution, while reserving the remaining allocation for verification checkpoints in upcoming 10-K and 10-Q reports.</w:t>
      </w:r>
    </w:p>
    <w:p>
      <w:pPr>
        <w:pStyle w:val="Compact"/>
        <w:numPr>
          <w:ilvl w:val="0"/>
          <w:numId w:val="1050"/>
        </w:numPr>
      </w:pPr>
      <w:r>
        <w:rPr>
          <w:b/>
          <w:bCs/>
        </w:rPr>
        <w:t xml:space="preserve">Fit with User Profile:</w:t>
      </w:r>
      <w:r>
        <w:t xml:space="preserve"> </w:t>
      </w:r>
      <w:r>
        <w:t xml:space="preserve">Fits a thoughtful, moderate-risk investor who wants</w:t>
      </w:r>
      <w:r>
        <w:t xml:space="preserve"> </w:t>
      </w:r>
      <w:r>
        <w:t xml:space="preserve">“skin in the game”</w:t>
      </w:r>
      <w:r>
        <w:t xml:space="preserve"> </w:t>
      </w:r>
      <w:r>
        <w:t xml:space="preserve">today but demands operational confirmation before scaling into an expensive equity.</w:t>
      </w:r>
    </w:p>
    <w:p>
      <w:pPr>
        <w:pStyle w:val="Compact"/>
        <w:numPr>
          <w:ilvl w:val="0"/>
          <w:numId w:val="1050"/>
        </w:numPr>
      </w:pPr>
      <w:r>
        <w:rPr>
          <w:b/>
          <w:bCs/>
        </w:rPr>
        <w:t xml:space="preserve">Suggested Maximum Allocation:</w:t>
      </w:r>
      <w:r>
        <w:t xml:space="preserve"> </w:t>
      </w:r>
      <w:r>
        <w:rPr>
          <w:b/>
          <w:bCs/>
        </w:rPr>
        <w:t xml:space="preserve">4.5% to 5.5%</w:t>
      </w:r>
      <w:r>
        <w:t xml:space="preserve"> </w:t>
      </w:r>
      <w:r>
        <w:t xml:space="preserve">of total portfolio.</w:t>
      </w:r>
    </w:p>
    <w:p>
      <w:pPr>
        <w:pStyle w:val="Compact"/>
        <w:numPr>
          <w:ilvl w:val="0"/>
          <w:numId w:val="1050"/>
        </w:numPr>
      </w:pPr>
      <w:r>
        <w:rPr>
          <w:b/>
          <w:bCs/>
        </w:rPr>
        <w:t xml:space="preserve">Reasonable Entry Range or Condition:</w:t>
      </w:r>
    </w:p>
    <w:p>
      <w:pPr>
        <w:pStyle w:val="Compact"/>
        <w:numPr>
          <w:ilvl w:val="1"/>
          <w:numId w:val="1051"/>
        </w:numPr>
      </w:pPr>
      <w:r>
        <w:t xml:space="preserve">Initial tranche (1.5%–2.0% allocation): Current market levels (~$920 – $930).</w:t>
      </w:r>
    </w:p>
    <w:p>
      <w:pPr>
        <w:pStyle w:val="Compact"/>
        <w:numPr>
          <w:ilvl w:val="1"/>
          <w:numId w:val="1051"/>
        </w:numPr>
      </w:pPr>
      <w:r>
        <w:t xml:space="preserve">Tranche 2 (+1.5%): Triggered if next 10-Q confirms renewal rates hold above 92.0% and adjusted international comps exceed 6.5%.</w:t>
      </w:r>
    </w:p>
    <w:p>
      <w:pPr>
        <w:pStyle w:val="Compact"/>
        <w:numPr>
          <w:ilvl w:val="1"/>
          <w:numId w:val="1051"/>
        </w:numPr>
      </w:pPr>
      <w:r>
        <w:t xml:space="preserve">Tranche 3 (+1.5%): Triggered if trailing P/E pulls back toward ≤40x (~$830) OR if full-year EPS guidance is revised upward by ≥8%.</w:t>
      </w:r>
    </w:p>
    <w:p>
      <w:pPr>
        <w:pStyle w:val="Compact"/>
        <w:numPr>
          <w:ilvl w:val="0"/>
          <w:numId w:val="1050"/>
        </w:numPr>
      </w:pPr>
      <w:r>
        <w:rPr>
          <w:b/>
          <w:bCs/>
        </w:rPr>
        <w:t xml:space="preserve">What to Monitor in Future Filings:</w:t>
      </w:r>
    </w:p>
    <w:p>
      <w:pPr>
        <w:pStyle w:val="Compact"/>
        <w:numPr>
          <w:ilvl w:val="1"/>
          <w:numId w:val="1052"/>
        </w:numPr>
      </w:pPr>
      <w:r>
        <w:t xml:space="preserve">Household membership additions: Concern if paid household growth decelerates below 2.5% YoY (currently 3.8%).</w:t>
      </w:r>
    </w:p>
    <w:p>
      <w:pPr>
        <w:pStyle w:val="Compact"/>
        <w:numPr>
          <w:ilvl w:val="1"/>
          <w:numId w:val="1052"/>
        </w:numPr>
      </w:pPr>
      <w:r>
        <w:t xml:space="preserve">Inventory turns and accounts payable ratio: Concern if Accounts Payable / Inventory coverage falls below 1.05x (currently 1.17x).</w:t>
      </w:r>
    </w:p>
    <w:p>
      <w:pPr>
        <w:pStyle w:val="Compact"/>
        <w:numPr>
          <w:ilvl w:val="1"/>
          <w:numId w:val="1052"/>
        </w:numPr>
      </w:pPr>
      <w:r>
        <w:t xml:space="preserve">Tariff and freight margin impacts: Watch for repeated non-operating volatility or sustained inventory charges.</w:t>
      </w:r>
    </w:p>
    <w:p>
      <w:pPr>
        <w:pStyle w:val="Compact"/>
        <w:numPr>
          <w:ilvl w:val="0"/>
          <w:numId w:val="1050"/>
        </w:numPr>
      </w:pPr>
      <w:r>
        <w:rPr>
          <w:b/>
          <w:bCs/>
        </w:rPr>
        <w:t xml:space="preserve">Thesis Broken If:</w:t>
      </w:r>
      <w:r>
        <w:t xml:space="preserve"> </w:t>
      </w:r>
      <w:r>
        <w:t xml:space="preserve">International expansion stalls (e.g., permanent cancellation of Asian/European pipelines) alongside an operating margin drop below 3.2%.</w:t>
      </w:r>
    </w:p>
    <w:p>
      <w:pPr>
        <w:pStyle w:val="Compact"/>
        <w:numPr>
          <w:ilvl w:val="0"/>
          <w:numId w:val="1050"/>
        </w:numPr>
      </w:pPr>
      <w:r>
        <w:rPr>
          <w:b/>
          <w:bCs/>
        </w:rPr>
        <w:t xml:space="preserve">Main Risks:</w:t>
      </w:r>
      <w:r>
        <w:t xml:space="preserve"> </w:t>
      </w:r>
      <w:r>
        <w:t xml:space="preserve">Stock could rapidly appreciate beyond analyst price targets ($1,050+), leaving the investor with an underweight, sub-scale position.</w:t>
      </w:r>
    </w:p>
    <w:p>
      <w:r>
        <w:pict>
          <v:rect style="width:0;height:1.5pt" o:hralign="center" o:hrstd="t" o:hr="t"/>
        </w:pict>
      </w:r>
    </w:p>
    <w:bookmarkEnd w:id="57"/>
    <w:bookmarkStart w:id="58" w:name="Xa6cd6a44ba3804c4df20b169d09c2c2c3311d99"/>
    <w:p>
      <w:pPr>
        <w:pStyle w:val="Heading3"/>
      </w:pPr>
      <w:r>
        <w:t xml:space="preserve">Approach 4: Total-Return Dividend Compounder (Reinvestment &amp; Special Dividend Capture)</w:t>
      </w:r>
    </w:p>
    <w:p>
      <w:pPr>
        <w:pStyle w:val="Compact"/>
        <w:numPr>
          <w:ilvl w:val="0"/>
          <w:numId w:val="1053"/>
        </w:numPr>
      </w:pPr>
      <w:r>
        <w:rPr>
          <w:b/>
          <w:bCs/>
        </w:rPr>
        <w:t xml:space="preserve">Rationale:</w:t>
      </w:r>
      <w:r>
        <w:t xml:space="preserve"> </w:t>
      </w:r>
      <w:r>
        <w:t xml:space="preserve">While Costco’s headline dividend yield appears negligible at ~0.60%, its true cash return profile is defined by rapid regular dividend growth and lump-sum special dividends. Costco paid a $15.00/share special dividend in FY2024 (and $7.00 in FY2017) and closed FY2026 with $20.21B in cash and equivalents against low debt. Reinvesting all regular and future special distributions over a 10+ year horizon harnesses Costco’s exceptional ROE (28.4%).</w:t>
      </w:r>
    </w:p>
    <w:p>
      <w:pPr>
        <w:pStyle w:val="Compact"/>
        <w:numPr>
          <w:ilvl w:val="0"/>
          <w:numId w:val="1053"/>
        </w:numPr>
      </w:pPr>
      <w:r>
        <w:rPr>
          <w:b/>
          <w:bCs/>
        </w:rPr>
        <w:t xml:space="preserve">Fit with User Profile:</w:t>
      </w:r>
      <w:r>
        <w:t xml:space="preserve"> </w:t>
      </w:r>
      <w:r>
        <w:t xml:space="preserve">Highly attractive for a 10+ year moderate-risk compounder seeking low-volatility income growth and balance-sheet security.</w:t>
      </w:r>
    </w:p>
    <w:p>
      <w:pPr>
        <w:pStyle w:val="Compact"/>
        <w:numPr>
          <w:ilvl w:val="0"/>
          <w:numId w:val="1053"/>
        </w:numPr>
      </w:pPr>
      <w:r>
        <w:rPr>
          <w:b/>
          <w:bCs/>
        </w:rPr>
        <w:t xml:space="preserve">Suggested Maximum Allocation:</w:t>
      </w:r>
      <w:r>
        <w:t xml:space="preserve"> </w:t>
      </w:r>
      <w:r>
        <w:rPr>
          <w:b/>
          <w:bCs/>
        </w:rPr>
        <w:t xml:space="preserve">4.0% to 5.0%</w:t>
      </w:r>
      <w:r>
        <w:t xml:space="preserve"> </w:t>
      </w:r>
      <w:r>
        <w:t xml:space="preserve">of total portfolio.</w:t>
      </w:r>
    </w:p>
    <w:p>
      <w:pPr>
        <w:pStyle w:val="Compact"/>
        <w:numPr>
          <w:ilvl w:val="0"/>
          <w:numId w:val="1053"/>
        </w:numPr>
      </w:pPr>
      <w:r>
        <w:rPr>
          <w:b/>
          <w:bCs/>
        </w:rPr>
        <w:t xml:space="preserve">Reasonable Entry Range or Condition:</w:t>
      </w:r>
      <w:r>
        <w:t xml:space="preserve"> </w:t>
      </w:r>
      <w:r>
        <w:t xml:space="preserve">Accumulate when trailing P/E is at or below</w:t>
      </w:r>
      <w:r>
        <w:t xml:space="preserve"> </w:t>
      </w:r>
      <w:r>
        <w:rPr>
          <w:b/>
          <w:bCs/>
        </w:rPr>
        <w:t xml:space="preserve">40x</w:t>
      </w:r>
      <w:r>
        <w:t xml:space="preserve"> </w:t>
      </w:r>
      <w:r>
        <w:t xml:space="preserve">($830/share or lower) to ensure the regular dividend plus prospective special dividend yield exceeds an annualized 2.0% cash yield on cost.</w:t>
      </w:r>
    </w:p>
    <w:p>
      <w:pPr>
        <w:pStyle w:val="Compact"/>
        <w:numPr>
          <w:ilvl w:val="0"/>
          <w:numId w:val="1053"/>
        </w:numPr>
      </w:pPr>
      <w:r>
        <w:rPr>
          <w:b/>
          <w:bCs/>
        </w:rPr>
        <w:t xml:space="preserve">What to Monitor in Future Filings:</w:t>
      </w:r>
    </w:p>
    <w:p>
      <w:pPr>
        <w:pStyle w:val="Compact"/>
        <w:numPr>
          <w:ilvl w:val="1"/>
          <w:numId w:val="1054"/>
        </w:numPr>
      </w:pPr>
      <w:r>
        <w:t xml:space="preserve">Cash and short-term investments: Concern if liquid balances fall below $10.0B without a clear capital return distribution or major acquisition.</w:t>
      </w:r>
    </w:p>
    <w:p>
      <w:pPr>
        <w:pStyle w:val="Compact"/>
        <w:numPr>
          <w:ilvl w:val="1"/>
          <w:numId w:val="1054"/>
        </w:numPr>
      </w:pPr>
      <w:r>
        <w:t xml:space="preserve">Free cash flow dividend coverage: Concern if regular cash dividend payments ($2.46B in FY2026) consume more than 45% of annual FCF ($9.39B in FY2026).</w:t>
      </w:r>
    </w:p>
    <w:p>
      <w:pPr>
        <w:pStyle w:val="Compact"/>
        <w:numPr>
          <w:ilvl w:val="1"/>
          <w:numId w:val="1054"/>
        </w:numPr>
      </w:pPr>
      <w:r>
        <w:t xml:space="preserve">Net debt status: Concern if total debt exceeds cash and liquid equivalents.</w:t>
      </w:r>
    </w:p>
    <w:p>
      <w:pPr>
        <w:pStyle w:val="Compact"/>
        <w:numPr>
          <w:ilvl w:val="0"/>
          <w:numId w:val="1053"/>
        </w:numPr>
      </w:pPr>
      <w:r>
        <w:rPr>
          <w:b/>
          <w:bCs/>
        </w:rPr>
        <w:t xml:space="preserve">Thesis Broken If:</w:t>
      </w:r>
      <w:r>
        <w:t xml:space="preserve"> </w:t>
      </w:r>
      <w:r>
        <w:t xml:space="preserve">Management shifts balance-sheet policy to debt-funded share buybacks at high valuations or dividend growth stalls below 7% annually.</w:t>
      </w:r>
    </w:p>
    <w:p>
      <w:pPr>
        <w:pStyle w:val="Compact"/>
        <w:numPr>
          <w:ilvl w:val="0"/>
          <w:numId w:val="1053"/>
        </w:numPr>
      </w:pPr>
      <w:r>
        <w:rPr>
          <w:b/>
          <w:bCs/>
        </w:rPr>
        <w:t xml:space="preserve">Main Risks:</w:t>
      </w:r>
      <w:r>
        <w:t xml:space="preserve"> </w:t>
      </w:r>
      <w:r>
        <w:t xml:space="preserve">Long multi-year lulls between special dividend distributions, combined with low initial yield, make this approach heavily dependent on capital gains for total return.</w:t>
      </w:r>
    </w:p>
    <w:p>
      <w:r>
        <w:pict>
          <v:rect style="width:0;height:1.5pt" o:hralign="center" o:hrstd="t" o:hr="t"/>
        </w:pict>
      </w:r>
    </w:p>
    <w:bookmarkEnd w:id="58"/>
    <w:bookmarkEnd w:id="59"/>
    <w:bookmarkStart w:id="60" w:name="comparison-table-of-long-term-approaches"/>
    <w:p>
      <w:pPr>
        <w:pStyle w:val="Heading2"/>
      </w:pPr>
      <w:r>
        <w:t xml:space="preserve">Comparison Table of Long-Term Approaches</w:t>
      </w:r>
    </w:p>
    <w:tbl>
      <w:tblPr>
        <w:tblStyle w:val="Table"/>
        <w:tblW w:type="pct" w:w="5000"/>
        <w:tblLayout w:type="fixed"/>
        <w:tblLook w:firstRow="1" w:lastRow="0" w:firstColumn="0" w:lastColumn="0" w:noHBand="0" w:noVBand="0" w:val="0020"/>
      </w:tblPr>
      <w:tblGrid>
        <w:gridCol w:w="1092"/>
        <w:gridCol w:w="1365"/>
        <w:gridCol w:w="1365"/>
        <w:gridCol w:w="1365"/>
        <w:gridCol w:w="1365"/>
        <w:gridCol w:w="1365"/>
      </w:tblGrid>
      <w:tr>
        <w:trPr>
          <w:tblHeader w:val="on"/>
        </w:trPr>
        <w:tc>
          <w:tcPr/>
          <w:p>
            <w:pPr>
              <w:pStyle w:val="Compact"/>
              <w:jc w:val="left"/>
            </w:pPr>
            <w:r>
              <w:t xml:space="preserve">Strategy Approach</w:t>
            </w:r>
          </w:p>
        </w:tc>
        <w:tc>
          <w:tcPr/>
          <w:p>
            <w:pPr>
              <w:pStyle w:val="Compact"/>
              <w:jc w:val="center"/>
            </w:pPr>
            <w:r>
              <w:t xml:space="preserve">Target Allocation (% of Portfolio)</w:t>
            </w:r>
          </w:p>
        </w:tc>
        <w:tc>
          <w:tcPr/>
          <w:p>
            <w:pPr>
              <w:pStyle w:val="Compact"/>
              <w:jc w:val="center"/>
            </w:pPr>
            <w:r>
              <w:t xml:space="preserve">Valuation / Entry Target</w:t>
            </w:r>
          </w:p>
        </w:tc>
        <w:tc>
          <w:tcPr/>
          <w:p>
            <w:pPr>
              <w:pStyle w:val="Compact"/>
              <w:jc w:val="center"/>
            </w:pPr>
            <w:r>
              <w:t xml:space="preserve">Key Trigger / Accumulation Mechanism</w:t>
            </w:r>
          </w:p>
        </w:tc>
        <w:tc>
          <w:tcPr/>
          <w:p>
            <w:pPr>
              <w:pStyle w:val="Compact"/>
              <w:jc w:val="center"/>
            </w:pPr>
            <w:r>
              <w:t xml:space="preserve">Primary Filing Metrics to Monitor</w:t>
            </w:r>
          </w:p>
        </w:tc>
        <w:tc>
          <w:tcPr/>
          <w:p>
            <w:pPr>
              <w:pStyle w:val="Compact"/>
              <w:jc w:val="center"/>
            </w:pPr>
            <w:r>
              <w:t xml:space="preserve">Primary Risk</w:t>
            </w:r>
          </w:p>
        </w:tc>
      </w:tr>
      <w:tr>
        <w:tc>
          <w:tcPr/>
          <w:p>
            <w:pPr>
              <w:pStyle w:val="Compact"/>
              <w:jc w:val="left"/>
            </w:pPr>
            <w:r>
              <w:rPr>
                <w:b/>
                <w:bCs/>
              </w:rPr>
              <w:t xml:space="preserve">1. Disciplined Value Accumulation</w:t>
            </w:r>
          </w:p>
        </w:tc>
        <w:tc>
          <w:tcPr/>
          <w:p>
            <w:pPr>
              <w:pStyle w:val="Compact"/>
              <w:jc w:val="center"/>
            </w:pPr>
            <w:r>
              <w:rPr>
                <w:b/>
                <w:bCs/>
              </w:rPr>
              <w:t xml:space="preserve">5.0% – 6.0%</w:t>
            </w:r>
          </w:p>
        </w:tc>
        <w:tc>
          <w:tcPr/>
          <w:p>
            <w:pPr>
              <w:pStyle w:val="Compact"/>
              <w:jc w:val="center"/>
            </w:pPr>
            <w:r>
              <w:t xml:space="preserve">$750 – $830 (≤38x P/E)</w:t>
            </w:r>
          </w:p>
        </w:tc>
        <w:tc>
          <w:tcPr/>
          <w:p>
            <w:pPr>
              <w:pStyle w:val="Compact"/>
              <w:jc w:val="center"/>
            </w:pPr>
            <w:r>
              <w:t xml:space="preserve">Limit orders / accumulation at historical median P/E</w:t>
            </w:r>
          </w:p>
        </w:tc>
        <w:tc>
          <w:tcPr/>
          <w:p>
            <w:pPr>
              <w:pStyle w:val="Compact"/>
              <w:jc w:val="center"/>
            </w:pPr>
            <w:r>
              <w:t xml:space="preserve">Operating margin (&lt;3.5%), FCF (&lt;$7.0B), membership fee growth (&lt;5%)</w:t>
            </w:r>
          </w:p>
        </w:tc>
        <w:tc>
          <w:tcPr/>
          <w:p>
            <w:pPr>
              <w:pStyle w:val="Compact"/>
              <w:jc w:val="center"/>
            </w:pPr>
            <w:r>
              <w:t xml:space="preserve">Opportunity risk (stock may not pull back to target)</w:t>
            </w:r>
          </w:p>
        </w:tc>
      </w:tr>
      <w:tr>
        <w:tc>
          <w:tcPr/>
          <w:p>
            <w:pPr>
              <w:pStyle w:val="Compact"/>
              <w:jc w:val="left"/>
            </w:pPr>
            <w:r>
              <w:rPr>
                <w:b/>
                <w:bCs/>
              </w:rPr>
              <w:t xml:space="preserve">2. Systematic Dollar-Cost Averaging</w:t>
            </w:r>
          </w:p>
        </w:tc>
        <w:tc>
          <w:tcPr/>
          <w:p>
            <w:pPr>
              <w:pStyle w:val="Compact"/>
              <w:jc w:val="center"/>
            </w:pPr>
            <w:r>
              <w:rPr>
                <w:b/>
                <w:bCs/>
              </w:rPr>
              <w:t xml:space="preserve">4.0% – 5.0%</w:t>
            </w:r>
          </w:p>
        </w:tc>
        <w:tc>
          <w:tcPr/>
          <w:p>
            <w:pPr>
              <w:pStyle w:val="Compact"/>
              <w:jc w:val="center"/>
            </w:pPr>
            <w:r>
              <w:t xml:space="preserve">Current prices ($922) down to $790</w:t>
            </w:r>
          </w:p>
        </w:tc>
        <w:tc>
          <w:tcPr/>
          <w:p>
            <w:pPr>
              <w:pStyle w:val="Compact"/>
              <w:jc w:val="center"/>
            </w:pPr>
            <w:r>
              <w:t xml:space="preserve">Fixed monthly tranches over 12–18 months; double size below 38x P/E</w:t>
            </w:r>
          </w:p>
        </w:tc>
        <w:tc>
          <w:tcPr/>
          <w:p>
            <w:pPr>
              <w:pStyle w:val="Compact"/>
              <w:jc w:val="center"/>
            </w:pPr>
            <w:r>
              <w:t xml:space="preserve">Digital comp sales (&lt;10%), net new warehouses (&lt;20 units/yr)</w:t>
            </w:r>
          </w:p>
        </w:tc>
        <w:tc>
          <w:tcPr/>
          <w:p>
            <w:pPr>
              <w:pStyle w:val="Compact"/>
              <w:jc w:val="center"/>
            </w:pPr>
            <w:r>
              <w:t xml:space="preserve">Multiple contraction drag on capital deployed at high multiples</w:t>
            </w:r>
          </w:p>
        </w:tc>
      </w:tr>
      <w:tr>
        <w:tc>
          <w:tcPr/>
          <w:p>
            <w:pPr>
              <w:pStyle w:val="Compact"/>
              <w:jc w:val="left"/>
            </w:pPr>
            <w:r>
              <w:rPr>
                <w:b/>
                <w:bCs/>
              </w:rPr>
              <w:t xml:space="preserve">3. Milestone-Gated Starter Position</w:t>
            </w:r>
          </w:p>
        </w:tc>
        <w:tc>
          <w:tcPr/>
          <w:p>
            <w:pPr>
              <w:pStyle w:val="Compact"/>
              <w:jc w:val="center"/>
            </w:pPr>
            <w:r>
              <w:rPr>
                <w:b/>
                <w:bCs/>
              </w:rPr>
              <w:t xml:space="preserve">4.5% – 5.5%</w:t>
            </w:r>
          </w:p>
        </w:tc>
        <w:tc>
          <w:tcPr/>
          <w:p>
            <w:pPr>
              <w:pStyle w:val="Compact"/>
              <w:jc w:val="center"/>
            </w:pPr>
            <w:r>
              <w:t xml:space="preserve">$920–$930 (Initial); $830 or earnings beat (Follow-ups)</w:t>
            </w:r>
          </w:p>
        </w:tc>
        <w:tc>
          <w:tcPr/>
          <w:p>
            <w:pPr>
              <w:pStyle w:val="Compact"/>
              <w:jc w:val="center"/>
            </w:pPr>
            <w:r>
              <w:t xml:space="preserve">1/3 initial position; 2/3 tied to 10-Q/10-K renewal &amp; comp results</w:t>
            </w:r>
          </w:p>
        </w:tc>
        <w:tc>
          <w:tcPr/>
          <w:p>
            <w:pPr>
              <w:pStyle w:val="Compact"/>
              <w:jc w:val="center"/>
            </w:pPr>
            <w:r>
              <w:t xml:space="preserve">Membership renewal (&lt;92%), AP/Inventory ratio (&lt;1.05x), household growth (&lt;2.5%)</w:t>
            </w:r>
          </w:p>
        </w:tc>
        <w:tc>
          <w:tcPr/>
          <w:p>
            <w:pPr>
              <w:pStyle w:val="Compact"/>
              <w:jc w:val="center"/>
            </w:pPr>
            <w:r>
              <w:t xml:space="preserve">Position remains underweight if stock runs without hitting pullback targets</w:t>
            </w:r>
          </w:p>
        </w:tc>
      </w:tr>
      <w:tr>
        <w:tc>
          <w:tcPr/>
          <w:p>
            <w:pPr>
              <w:pStyle w:val="Compact"/>
              <w:jc w:val="left"/>
            </w:pPr>
            <w:r>
              <w:rPr>
                <w:b/>
                <w:bCs/>
              </w:rPr>
              <w:t xml:space="preserve">4. Total-Return Dividend Compounder</w:t>
            </w:r>
          </w:p>
        </w:tc>
        <w:tc>
          <w:tcPr/>
          <w:p>
            <w:pPr>
              <w:pStyle w:val="Compact"/>
              <w:jc w:val="center"/>
            </w:pPr>
            <w:r>
              <w:rPr>
                <w:b/>
                <w:bCs/>
              </w:rPr>
              <w:t xml:space="preserve">4.0% – 5.0%</w:t>
            </w:r>
          </w:p>
        </w:tc>
        <w:tc>
          <w:tcPr/>
          <w:p>
            <w:pPr>
              <w:pStyle w:val="Compact"/>
              <w:jc w:val="center"/>
            </w:pPr>
            <w:r>
              <w:t xml:space="preserve">≤$830 (≤40x P/E)</w:t>
            </w:r>
          </w:p>
        </w:tc>
        <w:tc>
          <w:tcPr/>
          <w:p>
            <w:pPr>
              <w:pStyle w:val="Compact"/>
              <w:jc w:val="center"/>
            </w:pPr>
            <w:r>
              <w:t xml:space="preserve">Buy below 40x P/E; 100% DRIP on regular &amp; special distributions</w:t>
            </w:r>
          </w:p>
        </w:tc>
        <w:tc>
          <w:tcPr/>
          <w:p>
            <w:pPr>
              <w:pStyle w:val="Compact"/>
              <w:jc w:val="center"/>
            </w:pPr>
            <w:r>
              <w:t xml:space="preserve">Cash &amp; equivalents (&lt;$10B), FCF dividend payout ratio (&gt;45%), Net cash status</w:t>
            </w:r>
          </w:p>
        </w:tc>
        <w:tc>
          <w:tcPr/>
          <w:p>
            <w:pPr>
              <w:pStyle w:val="Compact"/>
              <w:jc w:val="center"/>
            </w:pPr>
            <w:r>
              <w:t xml:space="preserve">Low base yield (~0.60%) makes returns sensitive to special dividend timing</w:t>
            </w:r>
          </w:p>
        </w:tc>
      </w:tr>
    </w:tbl>
    <w:p>
      <w:r>
        <w:pict>
          <v:rect style="width:0;height:1.5pt" o:hralign="center" o:hrstd="t" o:hr="t"/>
        </w:pict>
      </w:r>
    </w:p>
    <w:p>
      <w:pPr>
        <w:pStyle w:val="FirstParagraph"/>
      </w:pPr>
      <w:r>
        <w:t xml:space="preserve">Important Disclaimer: For Educational and Informational Purposes Only. This analysis is generated by an AI model and is not financial, investment, tax or legal advice, or a recommendation to buy or sell any security. It may contain errors. Verify important facts and consult a qualified professional before making investment decisions.</w:t>
      </w:r>
    </w:p>
    <w:p>
      <w:r>
        <w:br w:type="page"/>
      </w:r>
    </w:p>
    <w:bookmarkEnd w:id="60"/>
    <w:bookmarkEnd w:id="61"/>
    <w:bookmarkStart w:id="89" w:name="X8c17be9d440b052d6cce223d910cbb419af8f76"/>
    <w:p>
      <w:pPr>
        <w:pStyle w:val="Heading1"/>
      </w:pPr>
      <w:r>
        <w:t xml:space="preserve">Appendix D: Position Plan (Gemini educational scenario)</w:t>
      </w:r>
    </w:p>
    <w:bookmarkStart w:id="88" w:name="Xe90630bd7973a0947df378d317fd215196b6d6d"/>
    <w:p>
      <w:pPr>
        <w:pStyle w:val="Heading2"/>
      </w:pPr>
      <w:r>
        <w:t xml:space="preserve">Long-Term Position Plans for Costco Wholesale Corporation (COST)</w:t>
      </w:r>
    </w:p>
    <w:p>
      <w:pPr>
        <w:pStyle w:val="FirstParagraph"/>
      </w:pPr>
      <w:r>
        <w:rPr>
          <w:b/>
          <w:bCs/>
        </w:rPr>
        <w:t xml:space="preserve">Investor Profile:</w:t>
      </w:r>
      <w:r>
        <w:t xml:space="preserve"> </w:t>
      </w:r>
      <w:r>
        <w:t xml:space="preserve">Moderate Risk |</w:t>
      </w:r>
      <w:r>
        <w:t xml:space="preserve"> </w:t>
      </w:r>
      <w:r>
        <w:rPr>
          <w:b/>
          <w:bCs/>
        </w:rPr>
        <w:t xml:space="preserve">Horizon:</w:t>
      </w:r>
      <w:r>
        <w:t xml:space="preserve"> </w:t>
      </w:r>
      <w:r>
        <w:t xml:space="preserve">10+ Years |</w:t>
      </w:r>
      <w:r>
        <w:t xml:space="preserve"> </w:t>
      </w:r>
      <w:r>
        <w:rPr>
          <w:b/>
          <w:bCs/>
        </w:rPr>
        <w:t xml:space="preserve">Execution Style:</w:t>
      </w:r>
      <w:r>
        <w:t xml:space="preserve"> </w:t>
      </w:r>
      <w:r>
        <w:t xml:space="preserve">Prefers Limit Orders |</w:t>
      </w:r>
      <w:r>
        <w:t xml:space="preserve"> </w:t>
      </w:r>
      <w:r>
        <w:rPr>
          <w:b/>
          <w:bCs/>
        </w:rPr>
        <w:t xml:space="preserve">Current Share Price:</w:t>
      </w:r>
      <w:r>
        <w:t xml:space="preserve"> </w:t>
      </w:r>
      <w:r>
        <w:t xml:space="preserve">~$921.99 (FY2026 Diluted EPS: $20.76; Trailing P/E: ~44.5x)</w:t>
      </w:r>
    </w:p>
    <w:p>
      <w:pPr>
        <w:pStyle w:val="BodyText"/>
      </w:pPr>
      <w:r>
        <w:t xml:space="preserve">Because no portfolio snapshot or dollar amounts were provided, all allocations and tranche sizes are expressed strictly as a percentage of your total investment portfolio.</w:t>
      </w:r>
    </w:p>
    <w:p>
      <w:r>
        <w:pict>
          <v:rect style="width:0;height:1.5pt" o:hralign="center" o:hrstd="t" o:hr="t"/>
        </w:pict>
      </w:r>
    </w:p>
    <w:bookmarkStart w:id="67" w:name="X2db7aa7fc272380c11ae15f2d441d33910e00cd"/>
    <w:p>
      <w:pPr>
        <w:pStyle w:val="Heading3"/>
      </w:pPr>
      <w:r>
        <w:t xml:space="preserve">Approach 1: Disciplined Value Accumulation (Targeted Entry Below 38x P/E)</w:t>
      </w:r>
    </w:p>
    <w:bookmarkStart w:id="62" w:name="building-the-position"/>
    <w:p>
      <w:pPr>
        <w:pStyle w:val="Heading4"/>
      </w:pPr>
      <w:r>
        <w:t xml:space="preserve">1. Building the Position</w:t>
      </w:r>
    </w:p>
    <w:p>
      <w:pPr>
        <w:pStyle w:val="Compact"/>
        <w:numPr>
          <w:ilvl w:val="0"/>
          <w:numId w:val="1055"/>
        </w:numPr>
      </w:pPr>
      <w:r>
        <w:rPr>
          <w:b/>
          <w:bCs/>
        </w:rPr>
        <w:t xml:space="preserve">Structure:</w:t>
      </w:r>
      <w:r>
        <w:t xml:space="preserve"> </w:t>
      </w:r>
      <w:r>
        <w:t xml:space="preserve">Staged purchases via valuation-based limit orders. Initiating a full lump sum today at ~44.5x trailing earnings exposes a moderate-risk portfolio to unnecessary multiple contraction risk.</w:t>
      </w:r>
    </w:p>
    <w:p>
      <w:pPr>
        <w:pStyle w:val="Compact"/>
        <w:numPr>
          <w:ilvl w:val="0"/>
          <w:numId w:val="1055"/>
        </w:numPr>
      </w:pPr>
      <w:r>
        <w:rPr>
          <w:b/>
          <w:bCs/>
        </w:rPr>
        <w:t xml:space="preserve">Target Allocation:</w:t>
      </w:r>
      <w:r>
        <w:t xml:space="preserve"> </w:t>
      </w:r>
      <w:r>
        <w:rPr>
          <w:b/>
          <w:bCs/>
        </w:rPr>
        <w:t xml:space="preserve">5.0%</w:t>
      </w:r>
      <w:r>
        <w:t xml:space="preserve"> </w:t>
      </w:r>
      <w:r>
        <w:t xml:space="preserve">of total portfolio (absolute hard ceiling at</w:t>
      </w:r>
      <w:r>
        <w:t xml:space="preserve"> </w:t>
      </w:r>
      <w:r>
        <w:rPr>
          <w:b/>
          <w:bCs/>
        </w:rPr>
        <w:t xml:space="preserve">6.0%</w:t>
      </w:r>
      <w:r>
        <w:t xml:space="preserve">).</w:t>
      </w:r>
    </w:p>
    <w:p>
      <w:pPr>
        <w:pStyle w:val="Compact"/>
        <w:numPr>
          <w:ilvl w:val="0"/>
          <w:numId w:val="1055"/>
        </w:numPr>
      </w:pPr>
      <w:r>
        <w:rPr>
          <w:b/>
          <w:bCs/>
        </w:rPr>
        <w:t xml:space="preserve">Execution via Good-’Til-Canceled (GTC) Limit Orders:</w:t>
      </w:r>
    </w:p>
    <w:p>
      <w:pPr>
        <w:pStyle w:val="Compact"/>
        <w:numPr>
          <w:ilvl w:val="1"/>
          <w:numId w:val="1056"/>
        </w:numPr>
      </w:pPr>
      <w:r>
        <w:rPr>
          <w:i/>
          <w:iCs/>
        </w:rPr>
        <w:t xml:space="preserve">Tranche 1 (1.5% of portfolio):</w:t>
      </w:r>
      <w:r>
        <w:t xml:space="preserve"> </w:t>
      </w:r>
      <w:r>
        <w:t xml:space="preserve">Limit order at</w:t>
      </w:r>
      <w:r>
        <w:t xml:space="preserve"> </w:t>
      </w:r>
      <w:r>
        <w:rPr>
          <w:b/>
          <w:bCs/>
        </w:rPr>
        <w:t xml:space="preserve">$830.00</w:t>
      </w:r>
      <w:r>
        <w:t xml:space="preserve"> </w:t>
      </w:r>
      <w:r>
        <w:t xml:space="preserve">(~40.0x FY2026 EPS). A limit order instructs your broker to buy only if the market price drops to $830.00 or lower.</w:t>
      </w:r>
    </w:p>
    <w:p>
      <w:pPr>
        <w:pStyle w:val="Compact"/>
        <w:numPr>
          <w:ilvl w:val="1"/>
          <w:numId w:val="1056"/>
        </w:numPr>
      </w:pPr>
      <w:r>
        <w:rPr>
          <w:i/>
          <w:iCs/>
        </w:rPr>
        <w:t xml:space="preserve">Tranche 2 (1.5% of portfolio):</w:t>
      </w:r>
      <w:r>
        <w:t xml:space="preserve"> </w:t>
      </w:r>
      <w:r>
        <w:t xml:space="preserve">Limit order at</w:t>
      </w:r>
      <w:r>
        <w:t xml:space="preserve"> </w:t>
      </w:r>
      <w:r>
        <w:rPr>
          <w:b/>
          <w:bCs/>
        </w:rPr>
        <w:t xml:space="preserve">$790.00</w:t>
      </w:r>
      <w:r>
        <w:t xml:space="preserve"> </w:t>
      </w:r>
      <w:r>
        <w:t xml:space="preserve">(~38.0x FY2026 EPS; matches Costco’s 10-year historical median P/E).</w:t>
      </w:r>
    </w:p>
    <w:p>
      <w:pPr>
        <w:pStyle w:val="Compact"/>
        <w:numPr>
          <w:ilvl w:val="1"/>
          <w:numId w:val="1056"/>
        </w:numPr>
      </w:pPr>
      <w:r>
        <w:rPr>
          <w:i/>
          <w:iCs/>
        </w:rPr>
        <w:t xml:space="preserve">Tranche 3 (2.0% of portfolio):</w:t>
      </w:r>
      <w:r>
        <w:t xml:space="preserve"> </w:t>
      </w:r>
      <w:r>
        <w:t xml:space="preserve">Limit order at</w:t>
      </w:r>
      <w:r>
        <w:t xml:space="preserve"> </w:t>
      </w:r>
      <w:r>
        <w:rPr>
          <w:b/>
          <w:bCs/>
        </w:rPr>
        <w:t xml:space="preserve">$750.00</w:t>
      </w:r>
      <w:r>
        <w:t xml:space="preserve"> </w:t>
      </w:r>
      <w:r>
        <w:t xml:space="preserve">(~36.1x FY2026 EPS; represents an attractive margin of safety).</w:t>
      </w:r>
    </w:p>
    <w:p>
      <w:pPr>
        <w:pStyle w:val="Compact"/>
        <w:numPr>
          <w:ilvl w:val="0"/>
          <w:numId w:val="1055"/>
        </w:numPr>
      </w:pPr>
      <w:r>
        <w:rPr>
          <w:b/>
          <w:bCs/>
        </w:rPr>
        <w:t xml:space="preserve">Rationale:</w:t>
      </w:r>
      <w:r>
        <w:t xml:space="preserve"> </w:t>
      </w:r>
      <w:r>
        <w:t xml:space="preserve">If the stock does not pull back to $830, capital remains safely in cash equivalents. You preserve purchasing power rather than chasing an asset trading at historically elevated multiples.</w:t>
      </w:r>
    </w:p>
    <w:bookmarkEnd w:id="62"/>
    <w:bookmarkStart w:id="63" w:name="holding-and-reviewing"/>
    <w:p>
      <w:pPr>
        <w:pStyle w:val="Heading4"/>
      </w:pPr>
      <w:r>
        <w:t xml:space="preserve">2. Holding and Reviewing</w:t>
      </w:r>
    </w:p>
    <w:p>
      <w:pPr>
        <w:pStyle w:val="FirstParagraph"/>
      </w:pPr>
      <w:r>
        <w:t xml:space="preserve">Do not react to daily retail sales headlines, gas price shifts, or broader market volatility. Review the position only upon the release of Form 10-Q (quarterly) and Form 10-K (annual) filings.</w:t>
      </w:r>
      <w:r>
        <w:t xml:space="preserve"> </w:t>
      </w:r>
      <w:r>
        <w:t xml:space="preserve">*</w:t>
      </w:r>
      <w:r>
        <w:t xml:space="preserve"> </w:t>
      </w:r>
      <w:r>
        <w:rPr>
          <w:b/>
          <w:bCs/>
        </w:rPr>
        <w:t xml:space="preserve">Quarterly/Annual 10-Q &amp; 10-K Review Checklist:</w:t>
      </w:r>
      <w:r>
        <w:t xml:space="preserve"> </w:t>
      </w:r>
      <w:r>
        <w:t xml:space="preserve">1.</w:t>
      </w:r>
      <w:r>
        <w:t xml:space="preserve"> </w:t>
      </w:r>
      <w:r>
        <w:rPr>
          <w:i/>
          <w:iCs/>
        </w:rPr>
        <w:t xml:space="preserve">Membership Renewal Rate (U.S. &amp; Canada):</w:t>
      </w:r>
      <w:r>
        <w:t xml:space="preserve"> </w:t>
      </w:r>
      <w:r>
        <w:t xml:space="preserve">Must stay</w:t>
      </w:r>
      <w:r>
        <w:t xml:space="preserve"> </w:t>
      </w:r>
      <w:r>
        <w:rPr>
          <w:b/>
          <w:bCs/>
        </w:rPr>
        <w:t xml:space="preserve">≥90.0%</w:t>
      </w:r>
      <w:r>
        <w:t xml:space="preserve"> </w:t>
      </w:r>
      <w:r>
        <w:t xml:space="preserve">(currently 92.3%). A dip below 90% signals potential subscriber fatigue.</w:t>
      </w:r>
      <w:r>
        <w:t xml:space="preserve"> </w:t>
      </w:r>
      <w:r>
        <w:t xml:space="preserve">2.</w:t>
      </w:r>
      <w:r>
        <w:t xml:space="preserve"> </w:t>
      </w:r>
      <w:r>
        <w:rPr>
          <w:i/>
          <w:iCs/>
        </w:rPr>
        <w:t xml:space="preserve">Membership Fee Income Growth:</w:t>
      </w:r>
      <w:r>
        <w:t xml:space="preserve"> </w:t>
      </w:r>
      <w:r>
        <w:t xml:space="preserve">Must compound at</w:t>
      </w:r>
      <w:r>
        <w:t xml:space="preserve"> </w:t>
      </w:r>
      <w:r>
        <w:rPr>
          <w:b/>
          <w:bCs/>
        </w:rPr>
        <w:t xml:space="preserve">≥5.0% YoY</w:t>
      </w:r>
      <w:r>
        <w:t xml:space="preserve"> </w:t>
      </w:r>
      <w:r>
        <w:t xml:space="preserve">(was +11.0% in FY2026). Deceleration below 5% indicates membership saturation.</w:t>
      </w:r>
      <w:r>
        <w:t xml:space="preserve"> </w:t>
      </w:r>
      <w:r>
        <w:t xml:space="preserve">3.</w:t>
      </w:r>
      <w:r>
        <w:t xml:space="preserve"> </w:t>
      </w:r>
      <w:r>
        <w:rPr>
          <w:i/>
          <w:iCs/>
        </w:rPr>
        <w:t xml:space="preserve">Operating Margin Stability:</w:t>
      </w:r>
      <w:r>
        <w:t xml:space="preserve"> </w:t>
      </w:r>
      <w:r>
        <w:t xml:space="preserve">Must maintain</w:t>
      </w:r>
      <w:r>
        <w:t xml:space="preserve"> </w:t>
      </w:r>
      <w:r>
        <w:rPr>
          <w:b/>
          <w:bCs/>
        </w:rPr>
        <w:t xml:space="preserve">≥3.5%</w:t>
      </w:r>
      <w:r>
        <w:t xml:space="preserve"> </w:t>
      </w:r>
      <w:r>
        <w:t xml:space="preserve">(currently 3.9%). A drop below 3.5% reflects an inability to pass through freight, wage, or merchandise inflation.</w:t>
      </w:r>
      <w:r>
        <w:t xml:space="preserve"> </w:t>
      </w:r>
      <w:r>
        <w:t xml:space="preserve">4.</w:t>
      </w:r>
      <w:r>
        <w:t xml:space="preserve"> </w:t>
      </w:r>
      <w:r>
        <w:rPr>
          <w:i/>
          <w:iCs/>
        </w:rPr>
        <w:t xml:space="preserve">Free Cash Flow (FCF) Generation:</w:t>
      </w:r>
      <w:r>
        <w:t xml:space="preserve"> </w:t>
      </w:r>
      <w:r>
        <w:t xml:space="preserve">Annual FCF must track</w:t>
      </w:r>
      <w:r>
        <w:t xml:space="preserve"> </w:t>
      </w:r>
      <w:r>
        <w:rPr>
          <w:b/>
          <w:bCs/>
        </w:rPr>
        <w:t xml:space="preserve">≥$7.0B</w:t>
      </w:r>
      <w:r>
        <w:t xml:space="preserve"> </w:t>
      </w:r>
      <w:r>
        <w:t xml:space="preserve">(was $9.39B in FY2026) to ensure warehouse expansion remains entirely self-funded.</w:t>
      </w:r>
    </w:p>
    <w:bookmarkEnd w:id="63"/>
    <w:bookmarkStart w:id="64" w:name="adding-more"/>
    <w:p>
      <w:pPr>
        <w:pStyle w:val="Heading4"/>
      </w:pPr>
      <w:r>
        <w:t xml:space="preserve">3. Adding More</w:t>
      </w:r>
    </w:p>
    <w:p>
      <w:pPr>
        <w:pStyle w:val="Compact"/>
        <w:numPr>
          <w:ilvl w:val="0"/>
          <w:numId w:val="1057"/>
        </w:numPr>
      </w:pPr>
      <w:r>
        <w:rPr>
          <w:b/>
          <w:bCs/>
        </w:rPr>
        <w:t xml:space="preserve">Conditions to Add:</w:t>
      </w:r>
      <w:r>
        <w:t xml:space="preserve"> </w:t>
      </w:r>
      <w:r>
        <w:t xml:space="preserve">If Costco has already reached its initial target (5.0%) and drops further into severe undervaluation (trailing P/E ≤32x, or ~$665 based on FY2026 EPS), adding an incremental tranche is justified</w:t>
      </w:r>
      <w:r>
        <w:t xml:space="preserve"> </w:t>
      </w:r>
      <w:r>
        <w:rPr>
          <w:i/>
          <w:iCs/>
        </w:rPr>
        <w:t xml:space="preserve">only if</w:t>
      </w:r>
      <w:r>
        <w:t xml:space="preserve"> </w:t>
      </w:r>
      <w:r>
        <w:t xml:space="preserve">renewal rates remain &gt;92% and balance sheet net cash remains positive.</w:t>
      </w:r>
    </w:p>
    <w:p>
      <w:pPr>
        <w:pStyle w:val="Compact"/>
        <w:numPr>
          <w:ilvl w:val="0"/>
          <w:numId w:val="1057"/>
        </w:numPr>
      </w:pPr>
      <w:r>
        <w:rPr>
          <w:b/>
          <w:bCs/>
        </w:rPr>
        <w:t xml:space="preserve">Hard Allocation Cap:</w:t>
      </w:r>
      <w:r>
        <w:t xml:space="preserve"> </w:t>
      </w:r>
      <w:r>
        <w:rPr>
          <w:b/>
          <w:bCs/>
        </w:rPr>
        <w:t xml:space="preserve">6.0% of total portfolio</w:t>
      </w:r>
      <w:r>
        <w:t xml:space="preserve">. Never exceed this cap, regardless of how attractive the valuation appears.</w:t>
      </w:r>
    </w:p>
    <w:bookmarkEnd w:id="64"/>
    <w:bookmarkStart w:id="65" w:name="trimming-and-rebalancing"/>
    <w:p>
      <w:pPr>
        <w:pStyle w:val="Heading4"/>
      </w:pPr>
      <w:r>
        <w:t xml:space="preserve">4. Trimming and Rebalancing</w:t>
      </w:r>
    </w:p>
    <w:p>
      <w:pPr>
        <w:pStyle w:val="Compact"/>
        <w:numPr>
          <w:ilvl w:val="0"/>
          <w:numId w:val="1058"/>
        </w:numPr>
      </w:pPr>
      <w:r>
        <w:rPr>
          <w:b/>
          <w:bCs/>
        </w:rPr>
        <w:t xml:space="preserve">Trimming Triggers:</w:t>
      </w:r>
    </w:p>
    <w:p>
      <w:pPr>
        <w:pStyle w:val="Compact"/>
        <w:numPr>
          <w:ilvl w:val="1"/>
          <w:numId w:val="1059"/>
        </w:numPr>
      </w:pPr>
      <w:r>
        <w:rPr>
          <w:i/>
          <w:iCs/>
        </w:rPr>
        <w:t xml:space="preserve">Cap Breach:</w:t>
      </w:r>
      <w:r>
        <w:t xml:space="preserve"> </w:t>
      </w:r>
      <w:r>
        <w:t xml:space="preserve">If outsized price appreciation drives COST to exceed</w:t>
      </w:r>
      <w:r>
        <w:t xml:space="preserve"> </w:t>
      </w:r>
      <w:r>
        <w:rPr>
          <w:b/>
          <w:bCs/>
        </w:rPr>
        <w:t xml:space="preserve">7.0%</w:t>
      </w:r>
      <w:r>
        <w:t xml:space="preserve"> </w:t>
      </w:r>
      <w:r>
        <w:t xml:space="preserve">of your total portfolio.</w:t>
      </w:r>
    </w:p>
    <w:p>
      <w:pPr>
        <w:pStyle w:val="Compact"/>
        <w:numPr>
          <w:ilvl w:val="1"/>
          <w:numId w:val="1059"/>
        </w:numPr>
      </w:pPr>
      <w:r>
        <w:rPr>
          <w:i/>
          <w:iCs/>
        </w:rPr>
        <w:t xml:space="preserve">Extreme Valuation:</w:t>
      </w:r>
      <w:r>
        <w:t xml:space="preserve"> </w:t>
      </w:r>
      <w:r>
        <w:t xml:space="preserve">If trailing P/E expands beyond</w:t>
      </w:r>
      <w:r>
        <w:t xml:space="preserve"> </w:t>
      </w:r>
      <w:r>
        <w:rPr>
          <w:b/>
          <w:bCs/>
        </w:rPr>
        <w:t xml:space="preserve">55.0x</w:t>
      </w:r>
      <w:r>
        <w:t xml:space="preserve"> </w:t>
      </w:r>
      <w:r>
        <w:t xml:space="preserve">(over $1,140 on current earnings) without a matching acceleration in EPS growth.</w:t>
      </w:r>
    </w:p>
    <w:p>
      <w:pPr>
        <w:pStyle w:val="Compact"/>
        <w:numPr>
          <w:ilvl w:val="0"/>
          <w:numId w:val="1058"/>
        </w:numPr>
      </w:pPr>
      <w:r>
        <w:rPr>
          <w:b/>
          <w:bCs/>
        </w:rPr>
        <w:t xml:space="preserve">Execution:</w:t>
      </w:r>
      <w:r>
        <w:t xml:space="preserve"> </w:t>
      </w:r>
      <w:r>
        <w:t xml:space="preserve">Trim in increments of 0.5%–1.0% of the portfolio to bring the weighting back down to 5.0%. When selling, instruct your broker to use the</w:t>
      </w:r>
      <w:r>
        <w:t xml:space="preserve"> </w:t>
      </w:r>
      <w:r>
        <w:t xml:space="preserve">“Specific Identification”</w:t>
      </w:r>
      <w:r>
        <w:t xml:space="preserve"> </w:t>
      </w:r>
      <w:r>
        <w:t xml:space="preserve">method to select the highest-cost lots first (minimizing taxable capital gains).</w:t>
      </w:r>
    </w:p>
    <w:bookmarkEnd w:id="65"/>
    <w:bookmarkStart w:id="66" w:name="exiting"/>
    <w:p>
      <w:pPr>
        <w:pStyle w:val="Heading4"/>
      </w:pPr>
      <w:r>
        <w:t xml:space="preserve">5. Exiting</w:t>
      </w:r>
    </w:p>
    <w:p>
      <w:pPr>
        <w:pStyle w:val="Compact"/>
        <w:numPr>
          <w:ilvl w:val="0"/>
          <w:numId w:val="1060"/>
        </w:numPr>
      </w:pPr>
      <w:r>
        <w:rPr>
          <w:b/>
          <w:bCs/>
        </w:rPr>
        <w:t xml:space="preserve">Thesis Broken Signals (Sell Triggers):</w:t>
      </w:r>
    </w:p>
    <w:p>
      <w:pPr>
        <w:pStyle w:val="Compact"/>
        <w:numPr>
          <w:ilvl w:val="1"/>
          <w:numId w:val="1061"/>
        </w:numPr>
      </w:pPr>
      <w:r>
        <w:rPr>
          <w:i/>
          <w:iCs/>
        </w:rPr>
        <w:t xml:space="preserve">Erosion of Customer Loyalty:</w:t>
      </w:r>
      <w:r>
        <w:t xml:space="preserve"> </w:t>
      </w:r>
      <w:r>
        <w:t xml:space="preserve">Renewal rates breach</w:t>
      </w:r>
      <w:r>
        <w:t xml:space="preserve"> </w:t>
      </w:r>
      <w:r>
        <w:rPr>
          <w:b/>
          <w:bCs/>
        </w:rPr>
        <w:t xml:space="preserve">88.0%</w:t>
      </w:r>
      <w:r>
        <w:t xml:space="preserve"> </w:t>
      </w:r>
      <w:r>
        <w:t xml:space="preserve">for two consecutive quarters.</w:t>
      </w:r>
    </w:p>
    <w:p>
      <w:pPr>
        <w:pStyle w:val="Compact"/>
        <w:numPr>
          <w:ilvl w:val="1"/>
          <w:numId w:val="1061"/>
        </w:numPr>
      </w:pPr>
      <w:r>
        <w:rPr>
          <w:i/>
          <w:iCs/>
        </w:rPr>
        <w:t xml:space="preserve">Working Capital Reversal:</w:t>
      </w:r>
      <w:r>
        <w:t xml:space="preserve"> </w:t>
      </w:r>
      <w:r>
        <w:t xml:space="preserve">Accounts Payable falls below Merchandise Inventories (inverting the negative working capital cycle).</w:t>
      </w:r>
    </w:p>
    <w:p>
      <w:pPr>
        <w:pStyle w:val="Compact"/>
        <w:numPr>
          <w:ilvl w:val="1"/>
          <w:numId w:val="1061"/>
        </w:numPr>
      </w:pPr>
      <w:r>
        <w:rPr>
          <w:i/>
          <w:iCs/>
        </w:rPr>
        <w:t xml:space="preserve">Balance Sheet Deterioration:</w:t>
      </w:r>
      <w:r>
        <w:t xml:space="preserve"> </w:t>
      </w:r>
      <w:r>
        <w:t xml:space="preserve">Management transitions away from net cash into sustained net debt to fund share repurchases.</w:t>
      </w:r>
    </w:p>
    <w:p>
      <w:pPr>
        <w:pStyle w:val="Compact"/>
        <w:numPr>
          <w:ilvl w:val="0"/>
          <w:numId w:val="1060"/>
        </w:numPr>
      </w:pPr>
      <w:r>
        <w:rPr>
          <w:b/>
          <w:bCs/>
        </w:rPr>
        <w:t xml:space="preserve">Discipline Reminder:</w:t>
      </w:r>
      <w:r>
        <w:t xml:space="preserve"> </w:t>
      </w:r>
      <w:r>
        <w:t xml:space="preserve">A sharp stock price decline is</w:t>
      </w:r>
      <w:r>
        <w:t xml:space="preserve"> </w:t>
      </w:r>
      <w:r>
        <w:rPr>
          <w:i/>
          <w:iCs/>
        </w:rPr>
        <w:t xml:space="preserve">not</w:t>
      </w:r>
      <w:r>
        <w:t xml:space="preserve"> </w:t>
      </w:r>
      <w:r>
        <w:t xml:space="preserve">a reason to sell if membership renewals and cash flow remain intact; market pullbacks represent multiple adjustments, not business failures. Conversely, a rapidly rising price is never a reason to add.</w:t>
      </w:r>
    </w:p>
    <w:p>
      <w:r>
        <w:pict>
          <v:rect style="width:0;height:1.5pt" o:hralign="center" o:hrstd="t" o:hr="t"/>
        </w:pict>
      </w:r>
    </w:p>
    <w:bookmarkEnd w:id="66"/>
    <w:bookmarkEnd w:id="67"/>
    <w:bookmarkStart w:id="73" w:name="X7ab4ff7ca8ae1a347a2702888790a7b7fca9708"/>
    <w:p>
      <w:pPr>
        <w:pStyle w:val="Heading3"/>
      </w:pPr>
      <w:r>
        <w:t xml:space="preserve">Approach 2: Systematic Dollar-Cost Averaging (12- to 18-Month Tranche Schedule)</w:t>
      </w:r>
    </w:p>
    <w:bookmarkStart w:id="68" w:name="building-the-position-1"/>
    <w:p>
      <w:pPr>
        <w:pStyle w:val="Heading4"/>
      </w:pPr>
      <w:r>
        <w:t xml:space="preserve">1. Building the Position</w:t>
      </w:r>
    </w:p>
    <w:p>
      <w:pPr>
        <w:pStyle w:val="Compact"/>
        <w:numPr>
          <w:ilvl w:val="0"/>
          <w:numId w:val="1062"/>
        </w:numPr>
      </w:pPr>
      <w:r>
        <w:rPr>
          <w:b/>
          <w:bCs/>
        </w:rPr>
        <w:t xml:space="preserve">Structure:</w:t>
      </w:r>
      <w:r>
        <w:t xml:space="preserve"> </w:t>
      </w:r>
      <w:r>
        <w:t xml:space="preserve">Staged purchases over a defined time horizon (12 monthly tranches). This eliminates the paralysis of trying to time the market while systematically dampening the impact of short-term multiple compression.</w:t>
      </w:r>
    </w:p>
    <w:p>
      <w:pPr>
        <w:pStyle w:val="Compact"/>
        <w:numPr>
          <w:ilvl w:val="0"/>
          <w:numId w:val="1062"/>
        </w:numPr>
      </w:pPr>
      <w:r>
        <w:rPr>
          <w:b/>
          <w:bCs/>
        </w:rPr>
        <w:t xml:space="preserve">Target Allocation:</w:t>
      </w:r>
      <w:r>
        <w:t xml:space="preserve"> </w:t>
      </w:r>
      <w:r>
        <w:rPr>
          <w:b/>
          <w:bCs/>
        </w:rPr>
        <w:t xml:space="preserve">4.0%</w:t>
      </w:r>
      <w:r>
        <w:t xml:space="preserve"> </w:t>
      </w:r>
      <w:r>
        <w:t xml:space="preserve">of total portfolio (absolute hard ceiling at</w:t>
      </w:r>
      <w:r>
        <w:t xml:space="preserve"> </w:t>
      </w:r>
      <w:r>
        <w:rPr>
          <w:b/>
          <w:bCs/>
        </w:rPr>
        <w:t xml:space="preserve">5.0%</w:t>
      </w:r>
      <w:r>
        <w:t xml:space="preserve">).</w:t>
      </w:r>
    </w:p>
    <w:p>
      <w:pPr>
        <w:pStyle w:val="Compact"/>
        <w:numPr>
          <w:ilvl w:val="0"/>
          <w:numId w:val="1062"/>
        </w:numPr>
      </w:pPr>
      <w:r>
        <w:rPr>
          <w:b/>
          <w:bCs/>
        </w:rPr>
        <w:t xml:space="preserve">Execution Schedule:</w:t>
      </w:r>
    </w:p>
    <w:p>
      <w:pPr>
        <w:pStyle w:val="Compact"/>
        <w:numPr>
          <w:ilvl w:val="1"/>
          <w:numId w:val="1063"/>
        </w:numPr>
      </w:pPr>
      <w:r>
        <w:t xml:space="preserve">Divide the 4.0% target allocation into</w:t>
      </w:r>
      <w:r>
        <w:t xml:space="preserve"> </w:t>
      </w:r>
      <w:r>
        <w:rPr>
          <w:b/>
          <w:bCs/>
        </w:rPr>
        <w:t xml:space="preserve">12 equal tranches</w:t>
      </w:r>
      <w:r>
        <w:t xml:space="preserve"> </w:t>
      </w:r>
      <w:r>
        <w:t xml:space="preserve">(~0.33% of your portfolio per month).</w:t>
      </w:r>
    </w:p>
    <w:p>
      <w:pPr>
        <w:pStyle w:val="Compact"/>
        <w:numPr>
          <w:ilvl w:val="1"/>
          <w:numId w:val="1063"/>
        </w:numPr>
      </w:pPr>
      <w:r>
        <w:t xml:space="preserve">On a set day each month (e.g., the first business day following month-end sales data), set a day limit order near the prevailing market price to accumulate that month’s tranche.</w:t>
      </w:r>
    </w:p>
    <w:p>
      <w:pPr>
        <w:pStyle w:val="Compact"/>
        <w:numPr>
          <w:ilvl w:val="1"/>
          <w:numId w:val="1063"/>
        </w:numPr>
      </w:pPr>
      <w:r>
        <w:rPr>
          <w:i/>
          <w:iCs/>
        </w:rPr>
        <w:t xml:space="preserve">Valuation Accelerator Rule:</w:t>
      </w:r>
      <w:r>
        <w:t xml:space="preserve"> </w:t>
      </w:r>
      <w:r>
        <w:t xml:space="preserve">If Costco’s trailing P/E derates below</w:t>
      </w:r>
      <w:r>
        <w:t xml:space="preserve"> </w:t>
      </w:r>
      <w:r>
        <w:rPr>
          <w:b/>
          <w:bCs/>
        </w:rPr>
        <w:t xml:space="preserve">38.0x</w:t>
      </w:r>
      <w:r>
        <w:t xml:space="preserve"> </w:t>
      </w:r>
      <w:r>
        <w:t xml:space="preserve">(~$790), double that month’s purchase to 0.66% of the portfolio.</w:t>
      </w:r>
    </w:p>
    <w:p>
      <w:pPr>
        <w:pStyle w:val="Compact"/>
        <w:numPr>
          <w:ilvl w:val="1"/>
          <w:numId w:val="1063"/>
        </w:numPr>
      </w:pPr>
      <w:r>
        <w:rPr>
          <w:i/>
          <w:iCs/>
        </w:rPr>
        <w:t xml:space="preserve">Valuation Pause Rule:</w:t>
      </w:r>
      <w:r>
        <w:t xml:space="preserve"> </w:t>
      </w:r>
      <w:r>
        <w:t xml:space="preserve">If trailing P/E expands above</w:t>
      </w:r>
      <w:r>
        <w:t xml:space="preserve"> </w:t>
      </w:r>
      <w:r>
        <w:rPr>
          <w:b/>
          <w:bCs/>
        </w:rPr>
        <w:t xml:space="preserve">50.0x</w:t>
      </w:r>
      <w:r>
        <w:t xml:space="preserve"> </w:t>
      </w:r>
      <w:r>
        <w:t xml:space="preserve">(~$1,040), pause purchases and allow cash to accumulate until valuation normalizes.</w:t>
      </w:r>
    </w:p>
    <w:bookmarkEnd w:id="68"/>
    <w:bookmarkStart w:id="69" w:name="holding-and-reviewing-1"/>
    <w:p>
      <w:pPr>
        <w:pStyle w:val="Heading4"/>
      </w:pPr>
      <w:r>
        <w:t xml:space="preserve">2. Holding and Reviewing</w:t>
      </w:r>
    </w:p>
    <w:p>
      <w:pPr>
        <w:pStyle w:val="FirstParagraph"/>
      </w:pPr>
      <w:r>
        <w:t xml:space="preserve">Review filing metrics quarterly at each 10-Q and 10-K date.</w:t>
      </w:r>
      <w:r>
        <w:t xml:space="preserve"> </w:t>
      </w:r>
      <w:r>
        <w:t xml:space="preserve">*</w:t>
      </w:r>
      <w:r>
        <w:t xml:space="preserve"> </w:t>
      </w:r>
      <w:r>
        <w:rPr>
          <w:b/>
          <w:bCs/>
        </w:rPr>
        <w:t xml:space="preserve">Quarterly/Annual 10-Q &amp; 10-K Review Checklist:</w:t>
      </w:r>
      <w:r>
        <w:t xml:space="preserve"> </w:t>
      </w:r>
      <w:r>
        <w:t xml:space="preserve">1.</w:t>
      </w:r>
      <w:r>
        <w:t xml:space="preserve"> </w:t>
      </w:r>
      <w:r>
        <w:rPr>
          <w:i/>
          <w:iCs/>
        </w:rPr>
        <w:t xml:space="preserve">Digitally-Enabled Comparable Sales:</w:t>
      </w:r>
      <w:r>
        <w:t xml:space="preserve"> </w:t>
      </w:r>
      <w:r>
        <w:t xml:space="preserve">Must maintain</w:t>
      </w:r>
      <w:r>
        <w:t xml:space="preserve"> </w:t>
      </w:r>
      <w:r>
        <w:rPr>
          <w:b/>
          <w:bCs/>
        </w:rPr>
        <w:t xml:space="preserve">≥10.0% YoY</w:t>
      </w:r>
      <w:r>
        <w:t xml:space="preserve"> </w:t>
      </w:r>
      <w:r>
        <w:t xml:space="preserve">(was +19.5% in Q4 FY2026). Deceleration below 10% signals loss of digital market share to peers.</w:t>
      </w:r>
      <w:r>
        <w:t xml:space="preserve"> </w:t>
      </w:r>
      <w:r>
        <w:t xml:space="preserve">2.</w:t>
      </w:r>
      <w:r>
        <w:t xml:space="preserve"> </w:t>
      </w:r>
      <w:r>
        <w:rPr>
          <w:i/>
          <w:iCs/>
        </w:rPr>
        <w:t xml:space="preserve">Adjusted Core Comparable Sales:</w:t>
      </w:r>
      <w:r>
        <w:t xml:space="preserve"> </w:t>
      </w:r>
      <w:r>
        <w:t xml:space="preserve">Must stay</w:t>
      </w:r>
      <w:r>
        <w:t xml:space="preserve"> </w:t>
      </w:r>
      <w:r>
        <w:rPr>
          <w:b/>
          <w:bCs/>
        </w:rPr>
        <w:t xml:space="preserve">≥4.0% YoY</w:t>
      </w:r>
      <w:r>
        <w:t xml:space="preserve"> </w:t>
      </w:r>
      <w:r>
        <w:t xml:space="preserve">(was +6.6% in FY2026).</w:t>
      </w:r>
      <w:r>
        <w:t xml:space="preserve"> </w:t>
      </w:r>
      <w:r>
        <w:t xml:space="preserve">3.</w:t>
      </w:r>
      <w:r>
        <w:t xml:space="preserve"> </w:t>
      </w:r>
      <w:r>
        <w:rPr>
          <w:i/>
          <w:iCs/>
        </w:rPr>
        <w:t xml:space="preserve">Net Warehouse Additions:</w:t>
      </w:r>
      <w:r>
        <w:t xml:space="preserve"> </w:t>
      </w:r>
      <w:r>
        <w:t xml:space="preserve">Tracking toward</w:t>
      </w:r>
      <w:r>
        <w:t xml:space="preserve"> </w:t>
      </w:r>
      <w:r>
        <w:rPr>
          <w:b/>
          <w:bCs/>
        </w:rPr>
        <w:t xml:space="preserve">≥20–25 units annually</w:t>
      </w:r>
      <w:r>
        <w:t xml:space="preserve"> </w:t>
      </w:r>
      <w:r>
        <w:t xml:space="preserve">(total footprint was 939 in FY2026).</w:t>
      </w:r>
      <w:r>
        <w:t xml:space="preserve"> </w:t>
      </w:r>
      <w:r>
        <w:t xml:space="preserve">4.</w:t>
      </w:r>
      <w:r>
        <w:t xml:space="preserve"> </w:t>
      </w:r>
      <w:r>
        <w:rPr>
          <w:i/>
          <w:iCs/>
        </w:rPr>
        <w:t xml:space="preserve">Diluted Share Count:</w:t>
      </w:r>
      <w:r>
        <w:t xml:space="preserve"> </w:t>
      </w:r>
      <w:r>
        <w:t xml:space="preserve">Must remain flat or decline (confirming share buybacks offset the ~$924M annual stock-based compensation).</w:t>
      </w:r>
    </w:p>
    <w:bookmarkEnd w:id="69"/>
    <w:bookmarkStart w:id="70" w:name="adding-more-1"/>
    <w:p>
      <w:pPr>
        <w:pStyle w:val="Heading4"/>
      </w:pPr>
      <w:r>
        <w:t xml:space="preserve">3. Adding More</w:t>
      </w:r>
    </w:p>
    <w:p>
      <w:pPr>
        <w:pStyle w:val="Compact"/>
        <w:numPr>
          <w:ilvl w:val="0"/>
          <w:numId w:val="1064"/>
        </w:numPr>
      </w:pPr>
      <w:r>
        <w:rPr>
          <w:b/>
          <w:bCs/>
        </w:rPr>
        <w:t xml:space="preserve">Conditions to Add:</w:t>
      </w:r>
      <w:r>
        <w:t xml:space="preserve"> </w:t>
      </w:r>
      <w:r>
        <w:t xml:space="preserve">Accelerate or extend tranches only when Costco is opening new international units on schedule, comp sales remain positive, and the stock derates to under 35x trailing earnings.</w:t>
      </w:r>
    </w:p>
    <w:p>
      <w:pPr>
        <w:pStyle w:val="Compact"/>
        <w:numPr>
          <w:ilvl w:val="0"/>
          <w:numId w:val="1064"/>
        </w:numPr>
      </w:pPr>
      <w:r>
        <w:rPr>
          <w:b/>
          <w:bCs/>
        </w:rPr>
        <w:t xml:space="preserve">Hard Allocation Cap:</w:t>
      </w:r>
      <w:r>
        <w:t xml:space="preserve"> </w:t>
      </w:r>
      <w:r>
        <w:rPr>
          <w:b/>
          <w:bCs/>
        </w:rPr>
        <w:t xml:space="preserve">5.0% of total portfolio</w:t>
      </w:r>
      <w:r>
        <w:t xml:space="preserve">.</w:t>
      </w:r>
    </w:p>
    <w:bookmarkEnd w:id="70"/>
    <w:bookmarkStart w:id="71" w:name="trimming-and-rebalancing-1"/>
    <w:p>
      <w:pPr>
        <w:pStyle w:val="Heading4"/>
      </w:pPr>
      <w:r>
        <w:t xml:space="preserve">4. Trimming and Rebalancing</w:t>
      </w:r>
    </w:p>
    <w:p>
      <w:pPr>
        <w:pStyle w:val="Compact"/>
        <w:numPr>
          <w:ilvl w:val="0"/>
          <w:numId w:val="1065"/>
        </w:numPr>
      </w:pPr>
      <w:r>
        <w:rPr>
          <w:b/>
          <w:bCs/>
        </w:rPr>
        <w:t xml:space="preserve">Trimming Triggers:</w:t>
      </w:r>
    </w:p>
    <w:p>
      <w:pPr>
        <w:pStyle w:val="Compact"/>
        <w:numPr>
          <w:ilvl w:val="1"/>
          <w:numId w:val="1066"/>
        </w:numPr>
      </w:pPr>
      <w:r>
        <w:t xml:space="preserve">Rebalance whenever the position exceeds</w:t>
      </w:r>
      <w:r>
        <w:t xml:space="preserve"> </w:t>
      </w:r>
      <w:r>
        <w:rPr>
          <w:b/>
          <w:bCs/>
        </w:rPr>
        <w:t xml:space="preserve">6.0%</w:t>
      </w:r>
      <w:r>
        <w:t xml:space="preserve"> </w:t>
      </w:r>
      <w:r>
        <w:t xml:space="preserve">of your total portfolio due to equity compounding.</w:t>
      </w:r>
    </w:p>
    <w:p>
      <w:pPr>
        <w:pStyle w:val="Compact"/>
        <w:numPr>
          <w:ilvl w:val="1"/>
          <w:numId w:val="1066"/>
        </w:numPr>
      </w:pPr>
      <w:r>
        <w:t xml:space="preserve">Rebalance if trailing P/E reaches</w:t>
      </w:r>
      <w:r>
        <w:t xml:space="preserve"> </w:t>
      </w:r>
      <w:r>
        <w:rPr>
          <w:b/>
          <w:bCs/>
        </w:rPr>
        <w:t xml:space="preserve">55.0x</w:t>
      </w:r>
      <w:r>
        <w:t xml:space="preserve">, trimming 20% to 25% of the position.</w:t>
      </w:r>
    </w:p>
    <w:p>
      <w:pPr>
        <w:pStyle w:val="Compact"/>
        <w:numPr>
          <w:ilvl w:val="0"/>
          <w:numId w:val="1065"/>
        </w:numPr>
      </w:pPr>
      <w:r>
        <w:rPr>
          <w:b/>
          <w:bCs/>
        </w:rPr>
        <w:t xml:space="preserve">Execution:</w:t>
      </w:r>
      <w:r>
        <w:t xml:space="preserve"> </w:t>
      </w:r>
      <w:r>
        <w:t xml:space="preserve">Rebalance back to the 4.0% target weighting. Prioritize selling lots with the highest cost basis held longer than one year.</w:t>
      </w:r>
    </w:p>
    <w:bookmarkEnd w:id="71"/>
    <w:bookmarkStart w:id="72" w:name="exiting-1"/>
    <w:p>
      <w:pPr>
        <w:pStyle w:val="Heading4"/>
      </w:pPr>
      <w:r>
        <w:t xml:space="preserve">5. Exiting</w:t>
      </w:r>
    </w:p>
    <w:p>
      <w:pPr>
        <w:pStyle w:val="Compact"/>
        <w:numPr>
          <w:ilvl w:val="0"/>
          <w:numId w:val="1067"/>
        </w:numPr>
      </w:pPr>
      <w:r>
        <w:rPr>
          <w:b/>
          <w:bCs/>
        </w:rPr>
        <w:t xml:space="preserve">Thesis Broken Signals (Sell Triggers):</w:t>
      </w:r>
    </w:p>
    <w:p>
      <w:pPr>
        <w:pStyle w:val="Compact"/>
        <w:numPr>
          <w:ilvl w:val="1"/>
          <w:numId w:val="1068"/>
        </w:numPr>
      </w:pPr>
      <w:r>
        <w:rPr>
          <w:i/>
          <w:iCs/>
        </w:rPr>
        <w:t xml:space="preserve">Traffic Contraction:</w:t>
      </w:r>
      <w:r>
        <w:t xml:space="preserve"> </w:t>
      </w:r>
      <w:r>
        <w:t xml:space="preserve">Adjusted comparable store sales turn negative for two consecutive quarters.</w:t>
      </w:r>
    </w:p>
    <w:p>
      <w:pPr>
        <w:pStyle w:val="Compact"/>
        <w:numPr>
          <w:ilvl w:val="1"/>
          <w:numId w:val="1068"/>
        </w:numPr>
      </w:pPr>
      <w:r>
        <w:rPr>
          <w:i/>
          <w:iCs/>
        </w:rPr>
        <w:t xml:space="preserve">Structural Margin Loss:</w:t>
      </w:r>
      <w:r>
        <w:t xml:space="preserve"> </w:t>
      </w:r>
      <w:r>
        <w:t xml:space="preserve">Operating margin drops and remains below</w:t>
      </w:r>
      <w:r>
        <w:t xml:space="preserve"> </w:t>
      </w:r>
      <w:r>
        <w:rPr>
          <w:b/>
          <w:bCs/>
        </w:rPr>
        <w:t xml:space="preserve">3.0%</w:t>
      </w:r>
      <w:r>
        <w:t xml:space="preserve"> </w:t>
      </w:r>
      <w:r>
        <w:t xml:space="preserve">(indicating a destructive price war with Walmart or Amazon).</w:t>
      </w:r>
    </w:p>
    <w:p>
      <w:pPr>
        <w:pStyle w:val="Compact"/>
        <w:numPr>
          <w:ilvl w:val="0"/>
          <w:numId w:val="1067"/>
        </w:numPr>
      </w:pPr>
      <w:r>
        <w:rPr>
          <w:b/>
          <w:bCs/>
        </w:rPr>
        <w:t xml:space="preserve">Discipline Reminder:</w:t>
      </w:r>
      <w:r>
        <w:t xml:space="preserve"> </w:t>
      </w:r>
      <w:r>
        <w:t xml:space="preserve">Avoid canceling tranches because the market is falling; DCA is designed specifically to capture lower average entry prices during broad market declines.</w:t>
      </w:r>
    </w:p>
    <w:p>
      <w:r>
        <w:pict>
          <v:rect style="width:0;height:1.5pt" o:hralign="center" o:hrstd="t" o:hr="t"/>
        </w:pict>
      </w:r>
    </w:p>
    <w:bookmarkEnd w:id="72"/>
    <w:bookmarkEnd w:id="73"/>
    <w:bookmarkStart w:id="79" w:name="X79161cefd7bd505a0f6e1595cd08920f90f6caf"/>
    <w:p>
      <w:pPr>
        <w:pStyle w:val="Heading3"/>
      </w:pPr>
      <w:r>
        <w:t xml:space="preserve">Approach 3: Milestone-Gated Starter Position (Filing-Based Tranches)</w:t>
      </w:r>
    </w:p>
    <w:bookmarkStart w:id="74" w:name="building-the-position-2"/>
    <w:p>
      <w:pPr>
        <w:pStyle w:val="Heading4"/>
      </w:pPr>
      <w:r>
        <w:t xml:space="preserve">1. Building the Position</w:t>
      </w:r>
    </w:p>
    <w:p>
      <w:pPr>
        <w:pStyle w:val="Compact"/>
        <w:numPr>
          <w:ilvl w:val="0"/>
          <w:numId w:val="1069"/>
        </w:numPr>
      </w:pPr>
      <w:r>
        <w:rPr>
          <w:b/>
          <w:bCs/>
        </w:rPr>
        <w:t xml:space="preserve">Structure:</w:t>
      </w:r>
      <w:r>
        <w:t xml:space="preserve"> </w:t>
      </w:r>
      <w:r>
        <w:t xml:space="preserve">Staged accumulation gated by concrete operational checkpoints in future SEC filings. This gives you immediate exposure while requiring business execution before committing additional capital.</w:t>
      </w:r>
    </w:p>
    <w:p>
      <w:pPr>
        <w:pStyle w:val="Compact"/>
        <w:numPr>
          <w:ilvl w:val="0"/>
          <w:numId w:val="1069"/>
        </w:numPr>
      </w:pPr>
      <w:r>
        <w:rPr>
          <w:b/>
          <w:bCs/>
        </w:rPr>
        <w:t xml:space="preserve">Target Allocation:</w:t>
      </w:r>
      <w:r>
        <w:t xml:space="preserve"> </w:t>
      </w:r>
      <w:r>
        <w:rPr>
          <w:b/>
          <w:bCs/>
        </w:rPr>
        <w:t xml:space="preserve">4.5%</w:t>
      </w:r>
      <w:r>
        <w:t xml:space="preserve"> </w:t>
      </w:r>
      <w:r>
        <w:t xml:space="preserve">of total portfolio (absolute hard ceiling at</w:t>
      </w:r>
      <w:r>
        <w:t xml:space="preserve"> </w:t>
      </w:r>
      <w:r>
        <w:rPr>
          <w:b/>
          <w:bCs/>
        </w:rPr>
        <w:t xml:space="preserve">5.5%</w:t>
      </w:r>
      <w:r>
        <w:t xml:space="preserve">).</w:t>
      </w:r>
    </w:p>
    <w:p>
      <w:pPr>
        <w:pStyle w:val="Compact"/>
        <w:numPr>
          <w:ilvl w:val="0"/>
          <w:numId w:val="1069"/>
        </w:numPr>
      </w:pPr>
      <w:r>
        <w:rPr>
          <w:b/>
          <w:bCs/>
        </w:rPr>
        <w:t xml:space="preserve">Execution Milestones:</w:t>
      </w:r>
    </w:p>
    <w:p>
      <w:pPr>
        <w:pStyle w:val="Compact"/>
        <w:numPr>
          <w:ilvl w:val="1"/>
          <w:numId w:val="1070"/>
        </w:numPr>
      </w:pPr>
      <w:r>
        <w:rPr>
          <w:i/>
          <w:iCs/>
        </w:rPr>
        <w:t xml:space="preserve">Tranche 1 (Starter - 1.5% of portfolio):</w:t>
      </w:r>
      <w:r>
        <w:t xml:space="preserve"> </w:t>
      </w:r>
      <w:r>
        <w:t xml:space="preserve">Deploy immediately using a limit order set slightly below the current bid/ask (e.g.,</w:t>
      </w:r>
      <w:r>
        <w:t xml:space="preserve"> </w:t>
      </w:r>
      <w:r>
        <w:rPr>
          <w:b/>
          <w:bCs/>
        </w:rPr>
        <w:t xml:space="preserve">$915.00 – $920.00</w:t>
      </w:r>
      <w:r>
        <w:t xml:space="preserve">).</w:t>
      </w:r>
    </w:p>
    <w:p>
      <w:pPr>
        <w:pStyle w:val="Compact"/>
        <w:numPr>
          <w:ilvl w:val="1"/>
          <w:numId w:val="1070"/>
        </w:numPr>
      </w:pPr>
      <w:r>
        <w:rPr>
          <w:i/>
          <w:iCs/>
        </w:rPr>
        <w:t xml:space="preserve">Tranche 2 (+1.5% of portfolio):</w:t>
      </w:r>
      <w:r>
        <w:t xml:space="preserve"> </w:t>
      </w:r>
      <w:r>
        <w:t xml:space="preserve">Triggered only after the next</w:t>
      </w:r>
      <w:r>
        <w:t xml:space="preserve"> </w:t>
      </w:r>
      <w:r>
        <w:rPr>
          <w:b/>
          <w:bCs/>
        </w:rPr>
        <w:t xml:space="preserve">Form 10-Q</w:t>
      </w:r>
      <w:r>
        <w:t xml:space="preserve"> </w:t>
      </w:r>
      <w:r>
        <w:t xml:space="preserve">confirms that U.S./Canada renewal rates remain</w:t>
      </w:r>
      <w:r>
        <w:t xml:space="preserve"> </w:t>
      </w:r>
      <w:r>
        <w:rPr>
          <w:b/>
          <w:bCs/>
        </w:rPr>
        <w:t xml:space="preserve">≥92.0%</w:t>
      </w:r>
      <w:r>
        <w:t xml:space="preserve"> </w:t>
      </w:r>
      <w:r>
        <w:t xml:space="preserve">and adjusted international comp sales exceed</w:t>
      </w:r>
      <w:r>
        <w:t xml:space="preserve"> </w:t>
      </w:r>
      <w:r>
        <w:rPr>
          <w:b/>
          <w:bCs/>
        </w:rPr>
        <w:t xml:space="preserve">6.0%</w:t>
      </w:r>
      <w:r>
        <w:t xml:space="preserve">. Execute via limit order at or below prevailing market price.</w:t>
      </w:r>
    </w:p>
    <w:p>
      <w:pPr>
        <w:pStyle w:val="Compact"/>
        <w:numPr>
          <w:ilvl w:val="1"/>
          <w:numId w:val="1070"/>
        </w:numPr>
      </w:pPr>
      <w:r>
        <w:rPr>
          <w:i/>
          <w:iCs/>
        </w:rPr>
        <w:t xml:space="preserve">Tranche 3 (+1.5% of portfolio):</w:t>
      </w:r>
      <w:r>
        <w:t xml:space="preserve"> </w:t>
      </w:r>
      <w:r>
        <w:t xml:space="preserve">Triggered if the stock pulls back to</w:t>
      </w:r>
      <w:r>
        <w:t xml:space="preserve"> </w:t>
      </w:r>
      <w:r>
        <w:rPr>
          <w:b/>
          <w:bCs/>
        </w:rPr>
        <w:t xml:space="preserve">≤40.0x P/E</w:t>
      </w:r>
      <w:r>
        <w:t xml:space="preserve"> </w:t>
      </w:r>
      <w:r>
        <w:t xml:space="preserve">(~$830)</w:t>
      </w:r>
      <w:r>
        <w:t xml:space="preserve"> </w:t>
      </w:r>
      <w:r>
        <w:rPr>
          <w:b/>
          <w:bCs/>
        </w:rPr>
        <w:t xml:space="preserve">OR</w:t>
      </w:r>
      <w:r>
        <w:t xml:space="preserve"> </w:t>
      </w:r>
      <w:r>
        <w:t xml:space="preserve">if the subsequent 10-Q/10-K confirms full-year EPS growth of</w:t>
      </w:r>
      <w:r>
        <w:t xml:space="preserve"> </w:t>
      </w:r>
      <w:r>
        <w:rPr>
          <w:b/>
          <w:bCs/>
        </w:rPr>
        <w:t xml:space="preserve">≥10.0%</w:t>
      </w:r>
      <w:r>
        <w:t xml:space="preserve">.</w:t>
      </w:r>
    </w:p>
    <w:bookmarkEnd w:id="74"/>
    <w:bookmarkStart w:id="75" w:name="holding-and-reviewing-2"/>
    <w:p>
      <w:pPr>
        <w:pStyle w:val="Heading4"/>
      </w:pPr>
      <w:r>
        <w:t xml:space="preserve">2. Holding and Reviewing</w:t>
      </w:r>
    </w:p>
    <w:p>
      <w:pPr>
        <w:pStyle w:val="FirstParagraph"/>
      </w:pPr>
      <w:r>
        <w:t xml:space="preserve">Every filing must validate that unit economics are scaling appropriately.</w:t>
      </w:r>
      <w:r>
        <w:t xml:space="preserve"> </w:t>
      </w:r>
      <w:r>
        <w:t xml:space="preserve">*</w:t>
      </w:r>
      <w:r>
        <w:t xml:space="preserve"> </w:t>
      </w:r>
      <w:r>
        <w:rPr>
          <w:b/>
          <w:bCs/>
        </w:rPr>
        <w:t xml:space="preserve">Quarterly/Annual 10-Q &amp; 10-K Review Checklist:</w:t>
      </w:r>
      <w:r>
        <w:t xml:space="preserve"> </w:t>
      </w:r>
      <w:r>
        <w:t xml:space="preserve">1.</w:t>
      </w:r>
      <w:r>
        <w:t xml:space="preserve"> </w:t>
      </w:r>
      <w:r>
        <w:rPr>
          <w:i/>
          <w:iCs/>
        </w:rPr>
        <w:t xml:space="preserve">Household Member Additions:</w:t>
      </w:r>
      <w:r>
        <w:t xml:space="preserve"> </w:t>
      </w:r>
      <w:r>
        <w:t xml:space="preserve">Paid cardholders must expand</w:t>
      </w:r>
      <w:r>
        <w:t xml:space="preserve"> </w:t>
      </w:r>
      <w:r>
        <w:rPr>
          <w:b/>
          <w:bCs/>
        </w:rPr>
        <w:t xml:space="preserve">≥3.0% YoY</w:t>
      </w:r>
      <w:r>
        <w:t xml:space="preserve"> </w:t>
      </w:r>
      <w:r>
        <w:t xml:space="preserve">(was +3.8% in FY2026). A decline below 2.5% prompts a pause on further purchases.</w:t>
      </w:r>
      <w:r>
        <w:t xml:space="preserve"> </w:t>
      </w:r>
      <w:r>
        <w:t xml:space="preserve">2.</w:t>
      </w:r>
      <w:r>
        <w:t xml:space="preserve"> </w:t>
      </w:r>
      <w:r>
        <w:rPr>
          <w:i/>
          <w:iCs/>
        </w:rPr>
        <w:t xml:space="preserve">Accounts Payable / Inventory Ratio:</w:t>
      </w:r>
      <w:r>
        <w:t xml:space="preserve"> </w:t>
      </w:r>
      <w:r>
        <w:t xml:space="preserve">Must remain</w:t>
      </w:r>
      <w:r>
        <w:t xml:space="preserve"> </w:t>
      </w:r>
      <w:r>
        <w:rPr>
          <w:b/>
          <w:bCs/>
        </w:rPr>
        <w:t xml:space="preserve">≥1.05x</w:t>
      </w:r>
      <w:r>
        <w:t xml:space="preserve"> </w:t>
      </w:r>
      <w:r>
        <w:t xml:space="preserve">(was 1.17x in FY2026, where $22.59B AP financed $19.32B inventory). A ratio below 1.0 indicates working capital deterioration.</w:t>
      </w:r>
      <w:r>
        <w:t xml:space="preserve"> </w:t>
      </w:r>
      <w:r>
        <w:t xml:space="preserve">3.</w:t>
      </w:r>
      <w:r>
        <w:t xml:space="preserve"> </w:t>
      </w:r>
      <w:r>
        <w:rPr>
          <w:i/>
          <w:iCs/>
        </w:rPr>
        <w:t xml:space="preserve">LIFO and Gross Margin Stability:</w:t>
      </w:r>
      <w:r>
        <w:t xml:space="preserve"> </w:t>
      </w:r>
      <w:r>
        <w:t xml:space="preserve">Gross margins must remain within the historical band of</w:t>
      </w:r>
      <w:r>
        <w:t xml:space="preserve"> </w:t>
      </w:r>
      <w:r>
        <w:rPr>
          <w:b/>
          <w:bCs/>
        </w:rPr>
        <w:t xml:space="preserve">10.5%–12.5%</w:t>
      </w:r>
      <w:r>
        <w:t xml:space="preserve">, showing that inventory charges are successfully managed.</w:t>
      </w:r>
    </w:p>
    <w:bookmarkEnd w:id="75"/>
    <w:bookmarkStart w:id="76" w:name="adding-more-2"/>
    <w:p>
      <w:pPr>
        <w:pStyle w:val="Heading4"/>
      </w:pPr>
      <w:r>
        <w:t xml:space="preserve">3. Adding More</w:t>
      </w:r>
    </w:p>
    <w:p>
      <w:pPr>
        <w:pStyle w:val="Compact"/>
        <w:numPr>
          <w:ilvl w:val="0"/>
          <w:numId w:val="1071"/>
        </w:numPr>
      </w:pPr>
      <w:r>
        <w:rPr>
          <w:b/>
          <w:bCs/>
        </w:rPr>
        <w:t xml:space="preserve">Conditions to Add:</w:t>
      </w:r>
      <w:r>
        <w:t xml:space="preserve"> </w:t>
      </w:r>
      <w:r>
        <w:t xml:space="preserve">Release Tranches 2 and 3 strictly when filing criteria are satisfied. No additional capital beyond the 4.5% target is deployed unless Costco expands warehouse openings in Asia/Europe ahead of the 2028 target schedule.</w:t>
      </w:r>
    </w:p>
    <w:p>
      <w:pPr>
        <w:pStyle w:val="Compact"/>
        <w:numPr>
          <w:ilvl w:val="0"/>
          <w:numId w:val="1071"/>
        </w:numPr>
      </w:pPr>
      <w:r>
        <w:rPr>
          <w:b/>
          <w:bCs/>
        </w:rPr>
        <w:t xml:space="preserve">Hard Allocation Cap:</w:t>
      </w:r>
      <w:r>
        <w:t xml:space="preserve"> </w:t>
      </w:r>
      <w:r>
        <w:rPr>
          <w:b/>
          <w:bCs/>
        </w:rPr>
        <w:t xml:space="preserve">5.5% of total portfolio</w:t>
      </w:r>
      <w:r>
        <w:t xml:space="preserve">.</w:t>
      </w:r>
    </w:p>
    <w:bookmarkEnd w:id="76"/>
    <w:bookmarkStart w:id="77" w:name="trimming-and-rebalancing-2"/>
    <w:p>
      <w:pPr>
        <w:pStyle w:val="Heading4"/>
      </w:pPr>
      <w:r>
        <w:t xml:space="preserve">4. Trimming and Rebalancing</w:t>
      </w:r>
    </w:p>
    <w:p>
      <w:pPr>
        <w:pStyle w:val="Compact"/>
        <w:numPr>
          <w:ilvl w:val="0"/>
          <w:numId w:val="1072"/>
        </w:numPr>
      </w:pPr>
      <w:r>
        <w:rPr>
          <w:b/>
          <w:bCs/>
        </w:rPr>
        <w:t xml:space="preserve">Trimming Triggers:</w:t>
      </w:r>
      <w:r>
        <w:t xml:space="preserve"> </w:t>
      </w:r>
      <w:r>
        <w:t xml:space="preserve">Trim back to target if the position grows above</w:t>
      </w:r>
      <w:r>
        <w:t xml:space="preserve"> </w:t>
      </w:r>
      <w:r>
        <w:rPr>
          <w:b/>
          <w:bCs/>
        </w:rPr>
        <w:t xml:space="preserve">6.5%</w:t>
      </w:r>
      <w:r>
        <w:t xml:space="preserve"> </w:t>
      </w:r>
      <w:r>
        <w:t xml:space="preserve">of the portfolio.</w:t>
      </w:r>
    </w:p>
    <w:p>
      <w:pPr>
        <w:pStyle w:val="Compact"/>
        <w:numPr>
          <w:ilvl w:val="0"/>
          <w:numId w:val="1072"/>
        </w:numPr>
      </w:pPr>
      <w:r>
        <w:rPr>
          <w:b/>
          <w:bCs/>
        </w:rPr>
        <w:t xml:space="preserve">Execution:</w:t>
      </w:r>
      <w:r>
        <w:t xml:space="preserve"> </w:t>
      </w:r>
      <w:r>
        <w:t xml:space="preserve">Sell enough shares to return to a 4.5% weighting, designating specific tax lots to minimize immediate tax drag.</w:t>
      </w:r>
    </w:p>
    <w:bookmarkEnd w:id="77"/>
    <w:bookmarkStart w:id="78" w:name="exiting-2"/>
    <w:p>
      <w:pPr>
        <w:pStyle w:val="Heading4"/>
      </w:pPr>
      <w:r>
        <w:t xml:space="preserve">5. Exiting</w:t>
      </w:r>
    </w:p>
    <w:p>
      <w:pPr>
        <w:pStyle w:val="Compact"/>
        <w:numPr>
          <w:ilvl w:val="0"/>
          <w:numId w:val="1073"/>
        </w:numPr>
      </w:pPr>
      <w:r>
        <w:rPr>
          <w:b/>
          <w:bCs/>
        </w:rPr>
        <w:t xml:space="preserve">Thesis Broken Signals (Sell Triggers):</w:t>
      </w:r>
    </w:p>
    <w:p>
      <w:pPr>
        <w:pStyle w:val="Compact"/>
        <w:numPr>
          <w:ilvl w:val="1"/>
          <w:numId w:val="1074"/>
        </w:numPr>
      </w:pPr>
      <w:r>
        <w:rPr>
          <w:i/>
          <w:iCs/>
        </w:rPr>
        <w:t xml:space="preserve">Pipeline Stoppage:</w:t>
      </w:r>
      <w:r>
        <w:t xml:space="preserve"> </w:t>
      </w:r>
      <w:r>
        <w:t xml:space="preserve">Permanent cancellation or multi-year retrenchment of international store expansion plans.</w:t>
      </w:r>
    </w:p>
    <w:p>
      <w:pPr>
        <w:pStyle w:val="Compact"/>
        <w:numPr>
          <w:ilvl w:val="1"/>
          <w:numId w:val="1074"/>
        </w:numPr>
      </w:pPr>
      <w:r>
        <w:rPr>
          <w:i/>
          <w:iCs/>
        </w:rPr>
        <w:t xml:space="preserve">Margin Compression:</w:t>
      </w:r>
      <w:r>
        <w:t xml:space="preserve"> </w:t>
      </w:r>
      <w:r>
        <w:t xml:space="preserve">Operating margin falls below</w:t>
      </w:r>
      <w:r>
        <w:t xml:space="preserve"> </w:t>
      </w:r>
      <w:r>
        <w:rPr>
          <w:b/>
          <w:bCs/>
        </w:rPr>
        <w:t xml:space="preserve">3.2%</w:t>
      </w:r>
      <w:r>
        <w:t xml:space="preserve"> </w:t>
      </w:r>
      <w:r>
        <w:t xml:space="preserve">for two consecutive filings.</w:t>
      </w:r>
    </w:p>
    <w:p>
      <w:pPr>
        <w:pStyle w:val="Compact"/>
        <w:numPr>
          <w:ilvl w:val="0"/>
          <w:numId w:val="1073"/>
        </w:numPr>
      </w:pPr>
      <w:r>
        <w:rPr>
          <w:b/>
          <w:bCs/>
        </w:rPr>
        <w:t xml:space="preserve">Discipline Reminder:</w:t>
      </w:r>
      <w:r>
        <w:t xml:space="preserve"> </w:t>
      </w:r>
      <w:r>
        <w:t xml:space="preserve">Do not purchase follow-up tranches simply because the stock is moving up; each addition requires explicit filing validation.</w:t>
      </w:r>
    </w:p>
    <w:p>
      <w:r>
        <w:pict>
          <v:rect style="width:0;height:1.5pt" o:hralign="center" o:hrstd="t" o:hr="t"/>
        </w:pict>
      </w:r>
    </w:p>
    <w:bookmarkEnd w:id="78"/>
    <w:bookmarkEnd w:id="79"/>
    <w:bookmarkStart w:id="85" w:name="Xc5d6fff37d3196bdabc071d2d7ab5ed9d2c3a19"/>
    <w:p>
      <w:pPr>
        <w:pStyle w:val="Heading3"/>
      </w:pPr>
      <w:r>
        <w:t xml:space="preserve">Approach 4: Total-Return Dividend Compounder (Reinvestment &amp; Special Dividend Capture)</w:t>
      </w:r>
    </w:p>
    <w:bookmarkStart w:id="80" w:name="building-the-position-3"/>
    <w:p>
      <w:pPr>
        <w:pStyle w:val="Heading4"/>
      </w:pPr>
      <w:r>
        <w:t xml:space="preserve">1. Building the Position</w:t>
      </w:r>
    </w:p>
    <w:p>
      <w:pPr>
        <w:pStyle w:val="Compact"/>
        <w:numPr>
          <w:ilvl w:val="0"/>
          <w:numId w:val="1075"/>
        </w:numPr>
      </w:pPr>
      <w:r>
        <w:rPr>
          <w:b/>
          <w:bCs/>
        </w:rPr>
        <w:t xml:space="preserve">Structure:</w:t>
      </w:r>
      <w:r>
        <w:t xml:space="preserve"> </w:t>
      </w:r>
      <w:r>
        <w:t xml:space="preserve">Valuation-gated accumulation focused on maximizing share count for long-term compounding, with 100% dividend reinvestment.</w:t>
      </w:r>
    </w:p>
    <w:p>
      <w:pPr>
        <w:pStyle w:val="Compact"/>
        <w:numPr>
          <w:ilvl w:val="0"/>
          <w:numId w:val="1075"/>
        </w:numPr>
      </w:pPr>
      <w:r>
        <w:rPr>
          <w:b/>
          <w:bCs/>
        </w:rPr>
        <w:t xml:space="preserve">Target Allocation:</w:t>
      </w:r>
      <w:r>
        <w:t xml:space="preserve"> </w:t>
      </w:r>
      <w:r>
        <w:rPr>
          <w:b/>
          <w:bCs/>
        </w:rPr>
        <w:t xml:space="preserve">4.0%</w:t>
      </w:r>
      <w:r>
        <w:t xml:space="preserve"> </w:t>
      </w:r>
      <w:r>
        <w:t xml:space="preserve">of total portfolio (absolute hard ceiling at</w:t>
      </w:r>
      <w:r>
        <w:t xml:space="preserve"> </w:t>
      </w:r>
      <w:r>
        <w:rPr>
          <w:b/>
          <w:bCs/>
        </w:rPr>
        <w:t xml:space="preserve">5.0%</w:t>
      </w:r>
      <w:r>
        <w:t xml:space="preserve">).</w:t>
      </w:r>
    </w:p>
    <w:p>
      <w:pPr>
        <w:pStyle w:val="Compact"/>
        <w:numPr>
          <w:ilvl w:val="0"/>
          <w:numId w:val="1075"/>
        </w:numPr>
      </w:pPr>
      <w:r>
        <w:rPr>
          <w:b/>
          <w:bCs/>
        </w:rPr>
        <w:t xml:space="preserve">Execution via Limit Orders:</w:t>
      </w:r>
    </w:p>
    <w:p>
      <w:pPr>
        <w:pStyle w:val="Compact"/>
        <w:numPr>
          <w:ilvl w:val="1"/>
          <w:numId w:val="1076"/>
        </w:numPr>
      </w:pPr>
      <w:r>
        <w:t xml:space="preserve">Set a standing GTC limit order at</w:t>
      </w:r>
      <w:r>
        <w:t xml:space="preserve"> </w:t>
      </w:r>
      <w:r>
        <w:rPr>
          <w:b/>
          <w:bCs/>
        </w:rPr>
        <w:t xml:space="preserve">$830.00</w:t>
      </w:r>
      <w:r>
        <w:t xml:space="preserve"> </w:t>
      </w:r>
      <w:r>
        <w:t xml:space="preserve">(~40.0x FY2026 EPS) for an initial 2.0% allocation.</w:t>
      </w:r>
    </w:p>
    <w:p>
      <w:pPr>
        <w:pStyle w:val="Compact"/>
        <w:numPr>
          <w:ilvl w:val="1"/>
          <w:numId w:val="1076"/>
        </w:numPr>
      </w:pPr>
      <w:r>
        <w:t xml:space="preserve">Set a secondary standing GTC limit order at</w:t>
      </w:r>
      <w:r>
        <w:t xml:space="preserve"> </w:t>
      </w:r>
      <w:r>
        <w:rPr>
          <w:b/>
          <w:bCs/>
        </w:rPr>
        <w:t xml:space="preserve">$775.00</w:t>
      </w:r>
      <w:r>
        <w:t xml:space="preserve"> </w:t>
      </w:r>
      <w:r>
        <w:t xml:space="preserve">(~37.3x FY2026 EPS) for the remaining 2.0% allocation.</w:t>
      </w:r>
    </w:p>
    <w:p>
      <w:pPr>
        <w:pStyle w:val="Compact"/>
        <w:numPr>
          <w:ilvl w:val="0"/>
          <w:numId w:val="1075"/>
        </w:numPr>
      </w:pPr>
      <w:r>
        <w:rPr>
          <w:b/>
          <w:bCs/>
        </w:rPr>
        <w:t xml:space="preserve">Dividend Reinvestment Plan (DRIP):</w:t>
      </w:r>
      <w:r>
        <w:t xml:space="preserve"> </w:t>
      </w:r>
      <w:r>
        <w:t xml:space="preserve">Enroll the position in automatic dividend reinvestment to immediately reinvest regular quarterly payouts ($5.20/share run-rate) and any periodic special dividends (such as the $15.00/share paid in FY2024).</w:t>
      </w:r>
    </w:p>
    <w:bookmarkEnd w:id="80"/>
    <w:bookmarkStart w:id="81" w:name="holding-and-reviewing-3"/>
    <w:p>
      <w:pPr>
        <w:pStyle w:val="Heading4"/>
      </w:pPr>
      <w:r>
        <w:t xml:space="preserve">2. Holding and Reviewing</w:t>
      </w:r>
    </w:p>
    <w:p>
      <w:pPr>
        <w:pStyle w:val="FirstParagraph"/>
      </w:pPr>
      <w:r>
        <w:t xml:space="preserve">Review dividend safety, cash reserves, and balance sheet strength at each filing.</w:t>
      </w:r>
      <w:r>
        <w:t xml:space="preserve"> </w:t>
      </w:r>
      <w:r>
        <w:t xml:space="preserve">*</w:t>
      </w:r>
      <w:r>
        <w:t xml:space="preserve"> </w:t>
      </w:r>
      <w:r>
        <w:rPr>
          <w:b/>
          <w:bCs/>
        </w:rPr>
        <w:t xml:space="preserve">Quarterly/Annual 10-Q &amp; 10-K Review Checklist:</w:t>
      </w:r>
      <w:r>
        <w:t xml:space="preserve"> </w:t>
      </w:r>
      <w:r>
        <w:t xml:space="preserve">1.</w:t>
      </w:r>
      <w:r>
        <w:t xml:space="preserve"> </w:t>
      </w:r>
      <w:r>
        <w:rPr>
          <w:i/>
          <w:iCs/>
        </w:rPr>
        <w:t xml:space="preserve">Cash and Liquid Short-Term Investments:</w:t>
      </w:r>
      <w:r>
        <w:t xml:space="preserve"> </w:t>
      </w:r>
      <w:r>
        <w:t xml:space="preserve">Must remain</w:t>
      </w:r>
      <w:r>
        <w:t xml:space="preserve"> </w:t>
      </w:r>
      <w:r>
        <w:rPr>
          <w:b/>
          <w:bCs/>
        </w:rPr>
        <w:t xml:space="preserve">≥$10.0B</w:t>
      </w:r>
      <w:r>
        <w:t xml:space="preserve"> </w:t>
      </w:r>
      <w:r>
        <w:t xml:space="preserve">(stood at $21.30B in FY2026) to preserve optionality for large special distributions.</w:t>
      </w:r>
      <w:r>
        <w:t xml:space="preserve"> </w:t>
      </w:r>
      <w:r>
        <w:t xml:space="preserve">2.</w:t>
      </w:r>
      <w:r>
        <w:t xml:space="preserve"> </w:t>
      </w:r>
      <w:r>
        <w:rPr>
          <w:i/>
          <w:iCs/>
        </w:rPr>
        <w:t xml:space="preserve">Net Debt Position:</w:t>
      </w:r>
      <w:r>
        <w:t xml:space="preserve"> </w:t>
      </w:r>
      <w:r>
        <w:t xml:space="preserve">Long-term and current debt ($6.16B in FY2026) must remain substantially below cash holdings. Net debt turning positive signals balance-sheet strain.</w:t>
      </w:r>
      <w:r>
        <w:t xml:space="preserve"> </w:t>
      </w:r>
      <w:r>
        <w:t xml:space="preserve">3.</w:t>
      </w:r>
      <w:r>
        <w:t xml:space="preserve"> </w:t>
      </w:r>
      <w:r>
        <w:rPr>
          <w:i/>
          <w:iCs/>
        </w:rPr>
        <w:t xml:space="preserve">Free Cash Flow Coverage:</w:t>
      </w:r>
      <w:r>
        <w:t xml:space="preserve"> </w:t>
      </w:r>
      <w:r>
        <w:t xml:space="preserve">Regular cash dividend payments ($2.46B in FY2026) must consume</w:t>
      </w:r>
      <w:r>
        <w:t xml:space="preserve"> </w:t>
      </w:r>
      <w:r>
        <w:rPr>
          <w:b/>
          <w:bCs/>
        </w:rPr>
        <w:t xml:space="preserve">&lt;40% of FCF</w:t>
      </w:r>
      <w:r>
        <w:t xml:space="preserve"> </w:t>
      </w:r>
      <w:r>
        <w:t xml:space="preserve">($9.39B in FY2026), ensuring full dividend security.</w:t>
      </w:r>
      <w:r>
        <w:t xml:space="preserve"> </w:t>
      </w:r>
      <w:r>
        <w:t xml:space="preserve">4.</w:t>
      </w:r>
      <w:r>
        <w:t xml:space="preserve"> </w:t>
      </w:r>
      <w:r>
        <w:rPr>
          <w:i/>
          <w:iCs/>
        </w:rPr>
        <w:t xml:space="preserve">Annual Dividend Hike:</w:t>
      </w:r>
      <w:r>
        <w:t xml:space="preserve"> </w:t>
      </w:r>
      <w:r>
        <w:t xml:space="preserve">Board must increase the regular quarterly dividend by</w:t>
      </w:r>
      <w:r>
        <w:t xml:space="preserve"> </w:t>
      </w:r>
      <w:r>
        <w:rPr>
          <w:b/>
          <w:bCs/>
        </w:rPr>
        <w:t xml:space="preserve">≥8.0% annually</w:t>
      </w:r>
      <w:r>
        <w:t xml:space="preserve">.</w:t>
      </w:r>
    </w:p>
    <w:bookmarkEnd w:id="81"/>
    <w:bookmarkStart w:id="82" w:name="adding-more-3"/>
    <w:p>
      <w:pPr>
        <w:pStyle w:val="Heading4"/>
      </w:pPr>
      <w:r>
        <w:t xml:space="preserve">3. Adding More</w:t>
      </w:r>
    </w:p>
    <w:p>
      <w:pPr>
        <w:pStyle w:val="Compact"/>
        <w:numPr>
          <w:ilvl w:val="0"/>
          <w:numId w:val="1077"/>
        </w:numPr>
      </w:pPr>
      <w:r>
        <w:rPr>
          <w:b/>
          <w:bCs/>
        </w:rPr>
        <w:t xml:space="preserve">Conditions to Add:</w:t>
      </w:r>
      <w:r>
        <w:t xml:space="preserve"> </w:t>
      </w:r>
      <w:r>
        <w:t xml:space="preserve">If Costco announces a special dividend or undergoes a broad market sell-off that pushes dividend yield on cost toward 2.0% (inclusive of annualized special distributions), add up to the hard cap.</w:t>
      </w:r>
    </w:p>
    <w:p>
      <w:pPr>
        <w:pStyle w:val="Compact"/>
        <w:numPr>
          <w:ilvl w:val="0"/>
          <w:numId w:val="1077"/>
        </w:numPr>
      </w:pPr>
      <w:r>
        <w:rPr>
          <w:b/>
          <w:bCs/>
        </w:rPr>
        <w:t xml:space="preserve">Hard Allocation Cap:</w:t>
      </w:r>
      <w:r>
        <w:t xml:space="preserve"> </w:t>
      </w:r>
      <w:r>
        <w:rPr>
          <w:b/>
          <w:bCs/>
        </w:rPr>
        <w:t xml:space="preserve">5.0% of total portfolio</w:t>
      </w:r>
      <w:r>
        <w:t xml:space="preserve">.</w:t>
      </w:r>
    </w:p>
    <w:bookmarkEnd w:id="82"/>
    <w:bookmarkStart w:id="83" w:name="trimming-and-rebalancing-3"/>
    <w:p>
      <w:pPr>
        <w:pStyle w:val="Heading4"/>
      </w:pPr>
      <w:r>
        <w:t xml:space="preserve">4. Trimming and Rebalancing</w:t>
      </w:r>
    </w:p>
    <w:p>
      <w:pPr>
        <w:pStyle w:val="Compact"/>
        <w:numPr>
          <w:ilvl w:val="0"/>
          <w:numId w:val="1078"/>
        </w:numPr>
      </w:pPr>
      <w:r>
        <w:rPr>
          <w:b/>
          <w:bCs/>
        </w:rPr>
        <w:t xml:space="preserve">Trimming Triggers:</w:t>
      </w:r>
    </w:p>
    <w:p>
      <w:pPr>
        <w:pStyle w:val="Compact"/>
        <w:numPr>
          <w:ilvl w:val="1"/>
          <w:numId w:val="1079"/>
        </w:numPr>
      </w:pPr>
      <w:r>
        <w:t xml:space="preserve">Rebalance if organic compounding plus DRIP pushes the position beyond</w:t>
      </w:r>
      <w:r>
        <w:t xml:space="preserve"> </w:t>
      </w:r>
      <w:r>
        <w:rPr>
          <w:b/>
          <w:bCs/>
        </w:rPr>
        <w:t xml:space="preserve">6.0%</w:t>
      </w:r>
      <w:r>
        <w:t xml:space="preserve"> </w:t>
      </w:r>
      <w:r>
        <w:t xml:space="preserve">of the portfolio.</w:t>
      </w:r>
    </w:p>
    <w:p>
      <w:pPr>
        <w:pStyle w:val="Compact"/>
        <w:numPr>
          <w:ilvl w:val="1"/>
          <w:numId w:val="1079"/>
        </w:numPr>
      </w:pPr>
      <w:r>
        <w:t xml:space="preserve">If a large special dividend causes a post-distribution price run-up that pushes the multiple past</w:t>
      </w:r>
      <w:r>
        <w:t xml:space="preserve"> </w:t>
      </w:r>
      <w:r>
        <w:rPr>
          <w:b/>
          <w:bCs/>
        </w:rPr>
        <w:t xml:space="preserve">52.0x trailing P/E</w:t>
      </w:r>
      <w:r>
        <w:t xml:space="preserve">, trim to capture capital gains.</w:t>
      </w:r>
    </w:p>
    <w:p>
      <w:pPr>
        <w:pStyle w:val="Compact"/>
        <w:numPr>
          <w:ilvl w:val="0"/>
          <w:numId w:val="1078"/>
        </w:numPr>
      </w:pPr>
      <w:r>
        <w:rPr>
          <w:b/>
          <w:bCs/>
        </w:rPr>
        <w:t xml:space="preserve">Execution:</w:t>
      </w:r>
      <w:r>
        <w:t xml:space="preserve"> </w:t>
      </w:r>
      <w:r>
        <w:t xml:space="preserve">Turn off DRIP temporarily if the position exceeds 5.0% of the portfolio, redirecting dividend cash to other asset classes.</w:t>
      </w:r>
    </w:p>
    <w:bookmarkEnd w:id="83"/>
    <w:bookmarkStart w:id="84" w:name="exiting-3"/>
    <w:p>
      <w:pPr>
        <w:pStyle w:val="Heading4"/>
      </w:pPr>
      <w:r>
        <w:t xml:space="preserve">5. Exiting</w:t>
      </w:r>
    </w:p>
    <w:p>
      <w:pPr>
        <w:pStyle w:val="Compact"/>
        <w:numPr>
          <w:ilvl w:val="0"/>
          <w:numId w:val="1080"/>
        </w:numPr>
      </w:pPr>
      <w:r>
        <w:rPr>
          <w:b/>
          <w:bCs/>
        </w:rPr>
        <w:t xml:space="preserve">Thesis Broken Signals (Sell Triggers):</w:t>
      </w:r>
    </w:p>
    <w:p>
      <w:pPr>
        <w:pStyle w:val="Compact"/>
        <w:numPr>
          <w:ilvl w:val="1"/>
          <w:numId w:val="1081"/>
        </w:numPr>
      </w:pPr>
      <w:r>
        <w:rPr>
          <w:i/>
          <w:iCs/>
        </w:rPr>
        <w:t xml:space="preserve">Dividend Deceleration:</w:t>
      </w:r>
      <w:r>
        <w:t xml:space="preserve"> </w:t>
      </w:r>
      <w:r>
        <w:t xml:space="preserve">Management reduces the regular dividend or fails to increase it for more than four consecutive quarters.</w:t>
      </w:r>
    </w:p>
    <w:p>
      <w:pPr>
        <w:pStyle w:val="Compact"/>
        <w:numPr>
          <w:ilvl w:val="1"/>
          <w:numId w:val="1081"/>
        </w:numPr>
      </w:pPr>
      <w:r>
        <w:rPr>
          <w:i/>
          <w:iCs/>
        </w:rPr>
        <w:t xml:space="preserve">Leverage Accumulation:</w:t>
      </w:r>
      <w:r>
        <w:t xml:space="preserve"> </w:t>
      </w:r>
      <w:r>
        <w:t xml:space="preserve">Net cash turns into net debt to fund share buybacks at multiples &gt;40x P/E.</w:t>
      </w:r>
    </w:p>
    <w:p>
      <w:pPr>
        <w:pStyle w:val="Compact"/>
        <w:numPr>
          <w:ilvl w:val="0"/>
          <w:numId w:val="1080"/>
        </w:numPr>
      </w:pPr>
      <w:r>
        <w:rPr>
          <w:b/>
          <w:bCs/>
        </w:rPr>
        <w:t xml:space="preserve">Discipline Reminder:</w:t>
      </w:r>
      <w:r>
        <w:t xml:space="preserve"> </w:t>
      </w:r>
      <w:r>
        <w:t xml:space="preserve">Costco’s headline dividend yield is low (~0.60%). Do not sell simply because the current yield appears small compared to fixed income; the compounding driver is long-term dividend growth supported by a fortress balance sheet.</w:t>
      </w:r>
    </w:p>
    <w:p>
      <w:r>
        <w:pict>
          <v:rect style="width:0;height:1.5pt" o:hralign="center" o:hrstd="t" o:hr="t"/>
        </w:pict>
      </w:r>
    </w:p>
    <w:bookmarkEnd w:id="84"/>
    <w:bookmarkEnd w:id="85"/>
    <w:bookmarkStart w:id="86" w:name="X5f6959349b945c657e859190cbd5e68862bac60"/>
    <w:p>
      <w:pPr>
        <w:pStyle w:val="Heading3"/>
      </w:pPr>
      <w:r>
        <w:t xml:space="preserve">Tax Awareness &amp; Account Placement (General Education)</w:t>
      </w:r>
    </w:p>
    <w:p>
      <w:pPr>
        <w:pStyle w:val="Compact"/>
        <w:numPr>
          <w:ilvl w:val="0"/>
          <w:numId w:val="1082"/>
        </w:numPr>
      </w:pPr>
      <w:r>
        <w:rPr>
          <w:b/>
          <w:bCs/>
        </w:rPr>
        <w:t xml:space="preserve">Account Placement:</w:t>
      </w:r>
    </w:p>
    <w:p>
      <w:pPr>
        <w:pStyle w:val="Compact"/>
        <w:numPr>
          <w:ilvl w:val="1"/>
          <w:numId w:val="1083"/>
        </w:numPr>
      </w:pPr>
      <w:r>
        <w:rPr>
          <w:i/>
          <w:iCs/>
        </w:rPr>
        <w:t xml:space="preserve">Tax-Advantaged Accounts (Traditional IRA, Roth IRA, 401(k)):</w:t>
      </w:r>
      <w:r>
        <w:t xml:space="preserve"> </w:t>
      </w:r>
      <w:r>
        <w:t xml:space="preserve">Ideal for Approach 4 and systematic rebalancing strategies. Large lump-sum special dividends (e.g., $15.00/share) and regular distributions compound tax-free or tax-deferred without generating an annual Form 1099-DIV.</w:t>
      </w:r>
    </w:p>
    <w:p>
      <w:pPr>
        <w:pStyle w:val="Compact"/>
        <w:numPr>
          <w:ilvl w:val="1"/>
          <w:numId w:val="1083"/>
        </w:numPr>
      </w:pPr>
      <w:r>
        <w:rPr>
          <w:i/>
          <w:iCs/>
        </w:rPr>
        <w:t xml:space="preserve">Taxable Accounts:</w:t>
      </w:r>
      <w:r>
        <w:t xml:space="preserve"> </w:t>
      </w:r>
      <w:r>
        <w:t xml:space="preserve">Well-suited for buy-and-hold approaches (Approach 1 and 3) where turnover is minimal. Costco’s modest regular dividend (~0.60%) generates limited annual tax liability, allowing unrealized capital gains to compound indefinitely.</w:t>
      </w:r>
    </w:p>
    <w:p>
      <w:pPr>
        <w:pStyle w:val="Compact"/>
        <w:numPr>
          <w:ilvl w:val="0"/>
          <w:numId w:val="1082"/>
        </w:numPr>
      </w:pPr>
      <w:r>
        <w:rPr>
          <w:b/>
          <w:bCs/>
        </w:rPr>
        <w:t xml:space="preserve">Holding Periods &amp; Specific-Lot Identification:</w:t>
      </w:r>
    </w:p>
    <w:p>
      <w:pPr>
        <w:pStyle w:val="Compact"/>
        <w:numPr>
          <w:ilvl w:val="1"/>
          <w:numId w:val="1084"/>
        </w:numPr>
      </w:pPr>
      <w:r>
        <w:t xml:space="preserve">Always verify that individual share lots have been held for</w:t>
      </w:r>
      <w:r>
        <w:t xml:space="preserve"> </w:t>
      </w:r>
      <w:r>
        <w:rPr>
          <w:b/>
          <w:bCs/>
        </w:rPr>
        <w:t xml:space="preserve">more than one full year</w:t>
      </w:r>
      <w:r>
        <w:t xml:space="preserve"> </w:t>
      </w:r>
      <w:r>
        <w:t xml:space="preserve">before trimming or rebalancing to qualify for long-term capital gains tax rates (typically 15%–20% federally, plus state taxes) rather than ordinary income rates.</w:t>
      </w:r>
    </w:p>
    <w:p>
      <w:pPr>
        <w:pStyle w:val="Compact"/>
        <w:numPr>
          <w:ilvl w:val="1"/>
          <w:numId w:val="1084"/>
        </w:numPr>
      </w:pPr>
      <w:r>
        <w:t xml:space="preserve">Instruct your brokerage to use</w:t>
      </w:r>
      <w:r>
        <w:t xml:space="preserve"> </w:t>
      </w:r>
      <w:r>
        <w:rPr>
          <w:b/>
          <w:bCs/>
        </w:rPr>
        <w:t xml:space="preserve">Specific Identification (SpecID)</w:t>
      </w:r>
      <w:r>
        <w:t xml:space="preserve"> </w:t>
      </w:r>
      <w:r>
        <w:t xml:space="preserve">or</w:t>
      </w:r>
      <w:r>
        <w:t xml:space="preserve"> </w:t>
      </w:r>
      <w:r>
        <w:rPr>
          <w:b/>
          <w:bCs/>
        </w:rPr>
        <w:t xml:space="preserve">Highest-In, First-Out (HIFO)</w:t>
      </w:r>
      <w:r>
        <w:t xml:space="preserve"> </w:t>
      </w:r>
      <w:r>
        <w:t xml:space="preserve">rather than First-In, First-Out (FIFO) when executing trims. Selling higher-cost shares first minimizes realized taxable gains.</w:t>
      </w:r>
    </w:p>
    <w:p>
      <w:pPr>
        <w:pStyle w:val="Compact"/>
        <w:numPr>
          <w:ilvl w:val="0"/>
          <w:numId w:val="1082"/>
        </w:numPr>
      </w:pPr>
      <w:r>
        <w:rPr>
          <w:b/>
          <w:bCs/>
        </w:rPr>
        <w:t xml:space="preserve">U.S. Wash-Sale Rules (Critical Mechanics):</w:t>
      </w:r>
    </w:p>
    <w:p>
      <w:pPr>
        <w:pStyle w:val="Compact"/>
        <w:numPr>
          <w:ilvl w:val="1"/>
          <w:numId w:val="1085"/>
        </w:numPr>
      </w:pPr>
      <w:r>
        <w:t xml:space="preserve">If you sell Costco shares at a loss in a taxable account, you</w:t>
      </w:r>
      <w:r>
        <w:t xml:space="preserve"> </w:t>
      </w:r>
      <w:r>
        <w:rPr>
          <w:b/>
          <w:bCs/>
        </w:rPr>
        <w:t xml:space="preserve">cannot</w:t>
      </w:r>
      <w:r>
        <w:t xml:space="preserve"> </w:t>
      </w:r>
      <w:r>
        <w:t xml:space="preserve">purchase substantially identical shares (COST) within</w:t>
      </w:r>
      <w:r>
        <w:t xml:space="preserve"> </w:t>
      </w:r>
      <w:r>
        <w:rPr>
          <w:b/>
          <w:bCs/>
        </w:rPr>
        <w:t xml:space="preserve">30 days before or 30 days after</w:t>
      </w:r>
      <w:r>
        <w:t xml:space="preserve"> </w:t>
      </w:r>
      <w:r>
        <w:t xml:space="preserve">the sale (a 61-day total window).</w:t>
      </w:r>
    </w:p>
    <w:p>
      <w:pPr>
        <w:pStyle w:val="Compact"/>
        <w:numPr>
          <w:ilvl w:val="1"/>
          <w:numId w:val="1085"/>
        </w:numPr>
      </w:pPr>
      <w:r>
        <w:rPr>
          <w:i/>
          <w:iCs/>
        </w:rPr>
        <w:t xml:space="preserve">Cross-Account Applicability:</w:t>
      </w:r>
      <w:r>
        <w:t xml:space="preserve"> </w:t>
      </w:r>
      <w:r>
        <w:t xml:space="preserve">The IRS wash-sale rule applies across</w:t>
      </w:r>
      <w:r>
        <w:t xml:space="preserve"> </w:t>
      </w:r>
      <w:r>
        <w:rPr>
          <w:b/>
          <w:bCs/>
        </w:rPr>
        <w:t xml:space="preserve">all accounts</w:t>
      </w:r>
      <w:r>
        <w:t xml:space="preserve"> </w:t>
      </w:r>
      <w:r>
        <w:t xml:space="preserve">owned by you and your spouse, including taxable brokerage accounts, Traditional IRAs, Roth IRAs, and health savings accounts (HSAs).</w:t>
      </w:r>
    </w:p>
    <w:p>
      <w:pPr>
        <w:pStyle w:val="Compact"/>
        <w:numPr>
          <w:ilvl w:val="1"/>
          <w:numId w:val="1085"/>
        </w:numPr>
      </w:pPr>
      <w:r>
        <w:rPr>
          <w:i/>
          <w:iCs/>
        </w:rPr>
        <w:t xml:space="preserve">Retirement Account Hazard:</w:t>
      </w:r>
      <w:r>
        <w:t xml:space="preserve"> </w:t>
      </w:r>
      <w:r>
        <w:t xml:space="preserve">Under</w:t>
      </w:r>
      <w:r>
        <w:t xml:space="preserve"> </w:t>
      </w:r>
      <w:r>
        <w:rPr>
          <w:b/>
          <w:bCs/>
        </w:rPr>
        <w:t xml:space="preserve">IRS Revenue Ruling 2008-5</w:t>
      </w:r>
      <w:r>
        <w:t xml:space="preserve">, if you sell COST shares for a tax loss in a taxable brokerage account and repurchase COST shares inside an IRA or Roth IRA within 30 days,</w:t>
      </w:r>
      <w:r>
        <w:t xml:space="preserve"> </w:t>
      </w:r>
      <w:r>
        <w:rPr>
          <w:b/>
          <w:bCs/>
        </w:rPr>
        <w:t xml:space="preserve">the tax loss is permanently disallowed</w:t>
      </w:r>
      <w:r>
        <w:t xml:space="preserve">, and the cost basis of the shares in the IRA is</w:t>
      </w:r>
      <w:r>
        <w:t xml:space="preserve"> </w:t>
      </w:r>
      <w:r>
        <w:rPr>
          <w:i/>
          <w:iCs/>
        </w:rPr>
        <w:t xml:space="preserve">not</w:t>
      </w:r>
      <w:r>
        <w:t xml:space="preserve"> </w:t>
      </w:r>
      <w:r>
        <w:t xml:space="preserve">increased. Never use an IRA to circumvent a wash sale; the only compliant solution is to wait a full</w:t>
      </w:r>
      <w:r>
        <w:t xml:space="preserve"> </w:t>
      </w:r>
      <w:r>
        <w:rPr>
          <w:b/>
          <w:bCs/>
        </w:rPr>
        <w:t xml:space="preserve">31 days</w:t>
      </w:r>
      <w:r>
        <w:t xml:space="preserve"> </w:t>
      </w:r>
      <w:r>
        <w:t xml:space="preserve">before repurchasing.</w:t>
      </w:r>
    </w:p>
    <w:p>
      <w:r>
        <w:pict>
          <v:rect style="width:0;height:1.5pt" o:hralign="center" o:hrstd="t" o:hr="t"/>
        </w:pict>
      </w:r>
    </w:p>
    <w:bookmarkEnd w:id="86"/>
    <w:bookmarkStart w:id="87" w:name="X7410f1f103634e10a4a29f9321e49906605b030"/>
    <w:p>
      <w:pPr>
        <w:pStyle w:val="Heading3"/>
      </w:pPr>
      <w:r>
        <w:t xml:space="preserve">Strategy Comparison &amp; Position Planning Summary</w:t>
      </w:r>
    </w:p>
    <w:tbl>
      <w:tblPr>
        <w:tblStyle w:val="Table"/>
        <w:tblW w:type="pct" w:w="5000"/>
        <w:tblLayout w:type="fixed"/>
        <w:tblLook w:firstRow="1" w:lastRow="0" w:firstColumn="0" w:lastColumn="0" w:noHBand="0" w:noVBand="0" w:val="0020"/>
      </w:tblPr>
      <w:tblGrid>
        <w:gridCol w:w="1508"/>
        <w:gridCol w:w="1508"/>
        <w:gridCol w:w="1885"/>
        <w:gridCol w:w="1508"/>
        <w:gridCol w:w="1508"/>
      </w:tblGrid>
      <w:tr>
        <w:trPr>
          <w:tblHeader w:val="on"/>
        </w:trPr>
        <w:tc>
          <w:tcPr/>
          <w:p>
            <w:pPr>
              <w:pStyle w:val="Compact"/>
              <w:jc w:val="left"/>
            </w:pPr>
            <w:r>
              <w:t xml:space="preserve">Strategy Approach</w:t>
            </w:r>
          </w:p>
        </w:tc>
        <w:tc>
          <w:tcPr/>
          <w:p>
            <w:pPr>
              <w:pStyle w:val="Compact"/>
              <w:jc w:val="left"/>
            </w:pPr>
            <w:r>
              <w:t xml:space="preserve">Build Mechanism &amp; Limit Target</w:t>
            </w:r>
          </w:p>
        </w:tc>
        <w:tc>
          <w:tcPr/>
          <w:p>
            <w:pPr>
              <w:pStyle w:val="Compact"/>
              <w:jc w:val="center"/>
            </w:pPr>
            <w:r>
              <w:t xml:space="preserve">Target Allocation (Cap)</w:t>
            </w:r>
          </w:p>
        </w:tc>
        <w:tc>
          <w:tcPr/>
          <w:p>
            <w:pPr>
              <w:pStyle w:val="Compact"/>
              <w:jc w:val="left"/>
            </w:pPr>
            <w:r>
              <w:t xml:space="preserve">Filing Review Triggers (10-Q / 10-K)</w:t>
            </w:r>
          </w:p>
        </w:tc>
        <w:tc>
          <w:tcPr/>
          <w:p>
            <w:pPr>
              <w:pStyle w:val="Compact"/>
              <w:jc w:val="left"/>
            </w:pPr>
            <w:r>
              <w:t xml:space="preserve">Exit / Thesis Broken Signals</w:t>
            </w:r>
          </w:p>
        </w:tc>
      </w:tr>
      <w:tr>
        <w:tc>
          <w:tcPr/>
          <w:p>
            <w:pPr>
              <w:pStyle w:val="Compact"/>
              <w:jc w:val="left"/>
            </w:pPr>
            <w:r>
              <w:rPr>
                <w:b/>
                <w:bCs/>
              </w:rPr>
              <w:t xml:space="preserve">1. Disciplined Value Accumulation</w:t>
            </w:r>
          </w:p>
        </w:tc>
        <w:tc>
          <w:tcPr/>
          <w:p>
            <w:pPr>
              <w:pStyle w:val="Compact"/>
              <w:jc w:val="left"/>
            </w:pPr>
            <w:r>
              <w:t xml:space="preserve">Staged limit orders: $830 (1.5%), $790 (1.5%), $750 (2.0%)</w:t>
            </w:r>
          </w:p>
        </w:tc>
        <w:tc>
          <w:tcPr/>
          <w:p>
            <w:pPr>
              <w:pStyle w:val="Compact"/>
              <w:jc w:val="center"/>
            </w:pPr>
            <w:r>
              <w:rPr>
                <w:b/>
                <w:bCs/>
              </w:rPr>
              <w:t xml:space="preserve">5.0%</w:t>
            </w:r>
            <w:r>
              <w:t xml:space="preserve"> </w:t>
            </w:r>
            <w:r>
              <w:t xml:space="preserve">(Max 6.0%)</w:t>
            </w:r>
          </w:p>
        </w:tc>
        <w:tc>
          <w:tcPr/>
          <w:p>
            <w:pPr>
              <w:pStyle w:val="Compact"/>
              <w:jc w:val="left"/>
            </w:pPr>
            <w:r>
              <w:t xml:space="preserve">Renewals &lt;90%; Fee income growth &lt;5%; Operating margin &lt;3.5%; FCF &lt;$7.0B</w:t>
            </w:r>
          </w:p>
        </w:tc>
        <w:tc>
          <w:tcPr/>
          <w:p>
            <w:pPr>
              <w:pStyle w:val="Compact"/>
              <w:jc w:val="left"/>
            </w:pPr>
            <w:r>
              <w:t xml:space="preserve">Renewals breach &lt;88%; AP/Inventory coverage inverts; Shift to net debt</w:t>
            </w:r>
          </w:p>
        </w:tc>
      </w:tr>
      <w:tr>
        <w:tc>
          <w:tcPr/>
          <w:p>
            <w:pPr>
              <w:pStyle w:val="Compact"/>
              <w:jc w:val="left"/>
            </w:pPr>
            <w:r>
              <w:rPr>
                <w:b/>
                <w:bCs/>
              </w:rPr>
              <w:t xml:space="preserve">2. Systematic DCA</w:t>
            </w:r>
          </w:p>
        </w:tc>
        <w:tc>
          <w:tcPr/>
          <w:p>
            <w:pPr>
              <w:pStyle w:val="Compact"/>
              <w:jc w:val="left"/>
            </w:pPr>
            <w:r>
              <w:t xml:space="preserve">12 monthly tranches (0.33%/mo); Double if &lt;38x P/E; Pause if &gt;50x P/E</w:t>
            </w:r>
          </w:p>
        </w:tc>
        <w:tc>
          <w:tcPr/>
          <w:p>
            <w:pPr>
              <w:pStyle w:val="Compact"/>
              <w:jc w:val="center"/>
            </w:pPr>
            <w:r>
              <w:rPr>
                <w:b/>
                <w:bCs/>
              </w:rPr>
              <w:t xml:space="preserve">4.0%</w:t>
            </w:r>
            <w:r>
              <w:t xml:space="preserve"> </w:t>
            </w:r>
            <w:r>
              <w:t xml:space="preserve">(Max 5.0%)</w:t>
            </w:r>
          </w:p>
        </w:tc>
        <w:tc>
          <w:tcPr/>
          <w:p>
            <w:pPr>
              <w:pStyle w:val="Compact"/>
              <w:jc w:val="left"/>
            </w:pPr>
            <w:r>
              <w:t xml:space="preserve">Digital comps &lt;10%; Core adjusted comps &lt;4%; Net new warehouses &lt;20/yr</w:t>
            </w:r>
          </w:p>
        </w:tc>
        <w:tc>
          <w:tcPr/>
          <w:p>
            <w:pPr>
              <w:pStyle w:val="Compact"/>
              <w:jc w:val="left"/>
            </w:pPr>
            <w:r>
              <w:t xml:space="preserve">Core comps turn negative for 2 consecutive quarters; Operating margin &lt;3.0%</w:t>
            </w:r>
          </w:p>
        </w:tc>
      </w:tr>
      <w:tr>
        <w:tc>
          <w:tcPr/>
          <w:p>
            <w:pPr>
              <w:pStyle w:val="Compact"/>
              <w:jc w:val="left"/>
            </w:pPr>
            <w:r>
              <w:rPr>
                <w:b/>
                <w:bCs/>
              </w:rPr>
              <w:t xml:space="preserve">3. Milestone-Gated Starter</w:t>
            </w:r>
          </w:p>
        </w:tc>
        <w:tc>
          <w:tcPr/>
          <w:p>
            <w:pPr>
              <w:pStyle w:val="Compact"/>
              <w:jc w:val="left"/>
            </w:pPr>
            <w:r>
              <w:t xml:space="preserve">1.5% starter ($915–$920); +1.5% at next 10-Q confirmation; +1.5% at ≤40x P/E or EPS beat</w:t>
            </w:r>
          </w:p>
        </w:tc>
        <w:tc>
          <w:tcPr/>
          <w:p>
            <w:pPr>
              <w:pStyle w:val="Compact"/>
              <w:jc w:val="center"/>
            </w:pPr>
            <w:r>
              <w:rPr>
                <w:b/>
                <w:bCs/>
              </w:rPr>
              <w:t xml:space="preserve">4.5%</w:t>
            </w:r>
            <w:r>
              <w:t xml:space="preserve"> </w:t>
            </w:r>
            <w:r>
              <w:t xml:space="preserve">(Max 5.5%)</w:t>
            </w:r>
          </w:p>
        </w:tc>
        <w:tc>
          <w:tcPr/>
          <w:p>
            <w:pPr>
              <w:pStyle w:val="Compact"/>
              <w:jc w:val="left"/>
            </w:pPr>
            <w:r>
              <w:t xml:space="preserve">Household growth &lt;3.0%; AP/Inventory ratio &lt;1.05x; Gross margin breaks band</w:t>
            </w:r>
          </w:p>
        </w:tc>
        <w:tc>
          <w:tcPr/>
          <w:p>
            <w:pPr>
              <w:pStyle w:val="Compact"/>
              <w:jc w:val="left"/>
            </w:pPr>
            <w:r>
              <w:t xml:space="preserve">International store pipeline canceled; Operating margin &lt;3.2%</w:t>
            </w:r>
          </w:p>
        </w:tc>
      </w:tr>
      <w:tr>
        <w:tc>
          <w:tcPr/>
          <w:p>
            <w:pPr>
              <w:pStyle w:val="Compact"/>
              <w:jc w:val="left"/>
            </w:pPr>
            <w:r>
              <w:rPr>
                <w:b/>
                <w:bCs/>
              </w:rPr>
              <w:t xml:space="preserve">4. Total-Return Dividend Compounder</w:t>
            </w:r>
          </w:p>
        </w:tc>
        <w:tc>
          <w:tcPr/>
          <w:p>
            <w:pPr>
              <w:pStyle w:val="Compact"/>
              <w:jc w:val="left"/>
            </w:pPr>
            <w:r>
              <w:t xml:space="preserve">Limit orders: $830 (2.0%), $775 (2.0%); 100% DRIP on regular &amp; special dividends</w:t>
            </w:r>
          </w:p>
        </w:tc>
        <w:tc>
          <w:tcPr/>
          <w:p>
            <w:pPr>
              <w:pStyle w:val="Compact"/>
              <w:jc w:val="center"/>
            </w:pPr>
            <w:r>
              <w:rPr>
                <w:b/>
                <w:bCs/>
              </w:rPr>
              <w:t xml:space="preserve">4.0%</w:t>
            </w:r>
            <w:r>
              <w:t xml:space="preserve"> </w:t>
            </w:r>
            <w:r>
              <w:t xml:space="preserve">(Max 5.0%)</w:t>
            </w:r>
          </w:p>
        </w:tc>
        <w:tc>
          <w:tcPr/>
          <w:p>
            <w:pPr>
              <w:pStyle w:val="Compact"/>
              <w:jc w:val="left"/>
            </w:pPr>
            <w:r>
              <w:t xml:space="preserve">Cash &amp; liquid reserves &lt;$10B; FCF dividend payout &gt;40%; Dividend hike &lt;8%</w:t>
            </w:r>
          </w:p>
        </w:tc>
        <w:tc>
          <w:tcPr/>
          <w:p>
            <w:pPr>
              <w:pStyle w:val="Compact"/>
              <w:jc w:val="left"/>
            </w:pPr>
            <w:r>
              <w:t xml:space="preserve">Dividend payment cut or frozen; Net cash turns into structural net debt</w:t>
            </w:r>
          </w:p>
        </w:tc>
      </w:tr>
    </w:tbl>
    <w:p>
      <w:r>
        <w:pict>
          <v:rect style="width:0;height:1.5pt" o:hralign="center" o:hrstd="t" o:hr="t"/>
        </w:pict>
      </w:r>
    </w:p>
    <w:p>
      <w:pPr>
        <w:pStyle w:val="FirstParagraph"/>
      </w:pPr>
      <w:r>
        <w:rPr>
          <w:i/>
          <w:iCs/>
        </w:rPr>
        <w:t xml:space="preserve">Important Educational Disclaimer: This position plan is prepared strictly for educational and informational purposes. It does not constitute individualized investment, financial, legal, or tax advice, nor does it recommend the purchase or sale of any specific security. All securities involve risk of loss. Verify all financial data independently and consult a licensed financial advisor and qualified tax professional before executing transactions.</w:t>
      </w:r>
    </w:p>
    <w:bookmarkEnd w:id="87"/>
    <w:bookmarkEnd w:id="88"/>
    <w:bookmarkEnd w:id="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0" Target="https://data.sec.gov/api/xbrl/companyfacts/CIK0000909832.json" TargetMode="External" /><Relationship Type="http://schemas.openxmlformats.org/officeDocument/2006/relationships/hyperlink" Id="rId29" Target="https://www.sec.gov/Archives/edgar/data/909832/000090983225000101/cost-20250831.htm" TargetMode="External" /><Relationship Type="http://schemas.openxmlformats.org/officeDocument/2006/relationships/hyperlink" Id="rId28" Target="https://www.sec.gov/Archives/edgar/data/909832/000090983226000051/cost-20260510.htm" TargetMode="External" /><Relationship Type="http://schemas.openxmlformats.org/officeDocument/2006/relationships/hyperlink" Id="rId27" Target="https://www.sec.gov/Archives/edgar/data/909832/000090983226000084/costex9918-k92426.htm" TargetMode="External" /><Relationship Type="http://schemas.openxmlformats.org/officeDocument/2006/relationships/hyperlink" Id="rId31" Target="https://www.sec.gov/edgar/browse/?CIK=0000909832" TargetMode="External" /></Relationships>
</file>

<file path=word/_rels/footnotes.xml.rels><?xml version="1.0" encoding="UTF-8"?><Relationships xmlns="http://schemas.openxmlformats.org/package/2006/relationships"><Relationship Type="http://schemas.openxmlformats.org/officeDocument/2006/relationships/hyperlink" Id="rId30" Target="https://data.sec.gov/api/xbrl/companyfacts/CIK0000909832.json" TargetMode="External" /><Relationship Type="http://schemas.openxmlformats.org/officeDocument/2006/relationships/hyperlink" Id="rId29" Target="https://www.sec.gov/Archives/edgar/data/909832/000090983225000101/cost-20250831.htm" TargetMode="External" /><Relationship Type="http://schemas.openxmlformats.org/officeDocument/2006/relationships/hyperlink" Id="rId28" Target="https://www.sec.gov/Archives/edgar/data/909832/000090983226000051/cost-20260510.htm" TargetMode="External" /><Relationship Type="http://schemas.openxmlformats.org/officeDocument/2006/relationships/hyperlink" Id="rId27" Target="https://www.sec.gov/Archives/edgar/data/909832/000090983226000084/costex9918-k92426.htm" TargetMode="External" /><Relationship Type="http://schemas.openxmlformats.org/officeDocument/2006/relationships/hyperlink" Id="rId31" Target="https://www.sec.gov/edgar/browse/?CIK=000090983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Costco Wholesale (COST): Long-Term Investment Research</dc:title>
  <dc:creator/>
  <cp:keywords/>
  <dcterms:created xsi:type="dcterms:W3CDTF">2026-09-29T20:35:25Z</dcterms:created>
  <dcterms:modified xsi:type="dcterms:W3CDTF">2026-09-29T20:35:25Z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30 September 2026 · Research by Gemini agent team; analysis, fact-check and review by Claude</vt:lpwstr>
  </property>
</Properties>
</file>