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Hims &amp; Hers Health (HIMS): Long-Term Investment Research</w:t>
      </w:r>
    </w:p>
    <w:p>
      <w:pPr>
        <w:pStyle w:val="Subtitle"/>
      </w:pPr>
      <w:r>
        <w:t xml:space="preserve">30 September 2026 · Research by Gemini agent team; analysis, fact-check and review by Claude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9" w:name="summary"/>
    <w:p>
      <w:pPr>
        <w:pStyle w:val="Heading1"/>
      </w:pPr>
      <w:r>
        <w:t xml:space="preserve">Summary</w:t>
      </w:r>
    </w:p>
    <w:p>
      <w:pPr>
        <w:pStyle w:val="Compact"/>
        <w:numPr>
          <w:ilvl w:val="0"/>
          <w:numId w:val="1001"/>
        </w:numPr>
      </w:pPr>
      <w:r>
        <w:rPr>
          <w:b/>
          <w:bCs/>
        </w:rPr>
        <w:t xml:space="preserve">The business:</w:t>
      </w:r>
      <w:r>
        <w:t xml:space="preserve"> </w:t>
      </w:r>
      <w:r>
        <w:t xml:space="preserve">a direct-to-consumer telehealth platform.</w:t>
      </w:r>
    </w:p>
    <w:p>
      <w:pPr>
        <w:pStyle w:val="Compact"/>
        <w:numPr>
          <w:ilvl w:val="1"/>
          <w:numId w:val="1002"/>
        </w:numPr>
      </w:pPr>
      <w:r>
        <w:t xml:space="preserve">Customers get online consultations with clinicians employed by affiliated medical groups.</w:t>
      </w:r>
    </w:p>
    <w:p>
      <w:pPr>
        <w:pStyle w:val="Compact"/>
        <w:numPr>
          <w:ilvl w:val="1"/>
          <w:numId w:val="1002"/>
        </w:numPr>
      </w:pPr>
      <w:r>
        <w:t xml:space="preserve">Prescriptions (sexual health, hair loss, dermatology, mental health, hormones, weight loss)</w:t>
      </w:r>
      <w:r>
        <w:t xml:space="preserve"> </w:t>
      </w:r>
      <w:r>
        <w:t xml:space="preserve">are shipped to their home, mostly by subscription.</w:t>
      </w:r>
    </w:p>
    <w:p>
      <w:pPr>
        <w:pStyle w:val="Compact"/>
        <w:numPr>
          <w:ilvl w:val="1"/>
          <w:numId w:val="1002"/>
        </w:numPr>
      </w:pPr>
      <w:r>
        <w:t xml:space="preserve">About 2.9M subscribers pay an average of $92 a month (Q2 2026).</w:t>
      </w:r>
    </w:p>
    <w:p>
      <w:pPr>
        <w:pStyle w:val="Compact"/>
        <w:numPr>
          <w:ilvl w:val="0"/>
          <w:numId w:val="1001"/>
        </w:numPr>
      </w:pPr>
      <w:r>
        <w:rPr>
          <w:b/>
          <w:bCs/>
        </w:rPr>
        <w:t xml:space="preserve">Growth has been exceptional.</w:t>
      </w:r>
      <w:r>
        <w:t xml:space="preserve"> </w:t>
      </w:r>
      <w:r>
        <w:t xml:space="preserve">Revenue went from $272M (2021) to $2.35B (2025), about 71% a</w:t>
      </w:r>
      <w:r>
        <w:t xml:space="preserve"> </w:t>
      </w:r>
      <w:r>
        <w:t xml:space="preserve">year. The company turned a small profit in 2024–2025, with an operating margin of about 4.5%.</w:t>
      </w:r>
    </w:p>
    <w:p>
      <w:pPr>
        <w:pStyle w:val="Compact"/>
        <w:numPr>
          <w:ilvl w:val="0"/>
          <w:numId w:val="1001"/>
        </w:numPr>
      </w:pPr>
      <w:r>
        <w:rPr>
          <w:b/>
          <w:bCs/>
        </w:rPr>
        <w:t xml:space="preserve">2026 is a turning point, and not a clean one.</w:t>
      </w:r>
      <w:r>
        <w:t xml:space="preserve"> </w:t>
      </w:r>
      <w:r>
        <w:t xml:space="preserve">Three things changed at once:</w:t>
      </w:r>
    </w:p>
    <w:p>
      <w:pPr>
        <w:pStyle w:val="Compact"/>
        <w:numPr>
          <w:ilvl w:val="1"/>
          <w:numId w:val="1003"/>
        </w:numPr>
      </w:pPr>
      <w:r>
        <w:rPr>
          <w:b/>
          <w:bCs/>
        </w:rPr>
        <w:t xml:space="preserve">The company is losing money:</w:t>
      </w:r>
      <w:r>
        <w:t xml:space="preserve"> </w:t>
      </w:r>
      <w:r>
        <w:t xml:space="preserve">a net loss of $178M in the first half.</w:t>
      </w:r>
    </w:p>
    <w:p>
      <w:pPr>
        <w:pStyle w:val="Compact"/>
        <w:numPr>
          <w:ilvl w:val="1"/>
          <w:numId w:val="1003"/>
        </w:numPr>
      </w:pPr>
      <w:r>
        <w:rPr>
          <w:b/>
          <w:bCs/>
        </w:rPr>
        <w:t xml:space="preserve">The weight-loss model changed:</w:t>
      </w:r>
      <w:r>
        <w:t xml:space="preserve"> </w:t>
      </w:r>
      <w:r>
        <w:t xml:space="preserve">in February the FDA publicly named Hims when announcing a</w:t>
      </w:r>
      <w:r>
        <w:t xml:space="preserve"> </w:t>
      </w:r>
      <w:r>
        <w:t xml:space="preserve">crackdown on mass-marketed compounded GLP-1 drugs, and HHS said it had referred the company to</w:t>
      </w:r>
      <w:r>
        <w:t xml:space="preserve"> </w:t>
      </w:r>
      <w:r>
        <w:t xml:space="preserve">the Department of Justice. In March Hims switched mainly to branded GLP-1s, and gross margin</w:t>
      </w:r>
      <w:r>
        <w:t xml:space="preserve"> </w:t>
      </w:r>
      <w:r>
        <w:t xml:space="preserve">fell from 76% to 64%.</w:t>
      </w:r>
    </w:p>
    <w:p>
      <w:pPr>
        <w:pStyle w:val="Compact"/>
        <w:numPr>
          <w:ilvl w:val="1"/>
          <w:numId w:val="1003"/>
        </w:numPr>
      </w:pPr>
      <w:r>
        <w:rPr>
          <w:b/>
          <w:bCs/>
        </w:rPr>
        <w:t xml:space="preserve">It made a large acquisition:</w:t>
      </w:r>
      <w:r>
        <w:t xml:space="preserve"> </w:t>
      </w:r>
      <w:r>
        <w:t xml:space="preserve">it bought Eucalyptus (Australia and elsewhere) for up to</w:t>
      </w:r>
      <w:r>
        <w:t xml:space="preserve"> </w:t>
      </w:r>
      <w:r>
        <w:t xml:space="preserve">$1.15B.</w:t>
      </w:r>
    </w:p>
    <w:p>
      <w:pPr>
        <w:pStyle w:val="Compact"/>
        <w:numPr>
          <w:ilvl w:val="1"/>
          <w:numId w:val="1003"/>
        </w:numPr>
      </w:pPr>
      <w:r>
        <w:t xml:space="preserve">Excluding the acquisitions, US revenue grew only 3% in the first half.</w:t>
      </w:r>
    </w:p>
    <w:p>
      <w:pPr>
        <w:pStyle w:val="Compact"/>
        <w:numPr>
          <w:ilvl w:val="0"/>
          <w:numId w:val="1001"/>
        </w:numPr>
      </w:pPr>
      <w:r>
        <w:rPr>
          <w:b/>
          <w:bCs/>
        </w:rPr>
        <w:t xml:space="preserve">Legal exposure is unusually heavy.</w:t>
      </w:r>
    </w:p>
    <w:p>
      <w:pPr>
        <w:pStyle w:val="Compact"/>
        <w:numPr>
          <w:ilvl w:val="1"/>
          <w:numId w:val="1004"/>
        </w:numPr>
      </w:pPr>
      <w:r>
        <w:t xml:space="preserve">The FTC and two state/local co-plaintiffs sued in July 2026 over subscription and</w:t>
      </w:r>
      <w:r>
        <w:t xml:space="preserve"> </w:t>
      </w:r>
      <w:r>
        <w:t xml:space="preserve">advertising practices. Hims has accrued about $60M for this case.</w:t>
      </w:r>
    </w:p>
    <w:p>
      <w:pPr>
        <w:pStyle w:val="Compact"/>
        <w:numPr>
          <w:ilvl w:val="1"/>
          <w:numId w:val="1004"/>
        </w:numPr>
      </w:pPr>
      <w:r>
        <w:t xml:space="preserve">Novo Nordisk is suing for patent infringement and seeks an injunction.</w:t>
      </w:r>
    </w:p>
    <w:p>
      <w:pPr>
        <w:pStyle w:val="Compact"/>
        <w:numPr>
          <w:ilvl w:val="1"/>
          <w:numId w:val="1004"/>
        </w:numPr>
      </w:pPr>
      <w:r>
        <w:t xml:space="preserve">The FDA/DOJ matter above.</w:t>
      </w:r>
    </w:p>
    <w:p>
      <w:pPr>
        <w:pStyle w:val="Compact"/>
        <w:numPr>
          <w:ilvl w:val="1"/>
          <w:numId w:val="1004"/>
        </w:numPr>
      </w:pPr>
      <w:r>
        <w:t xml:space="preserve">Shareholder class actions.</w:t>
      </w:r>
    </w:p>
    <w:p>
      <w:pPr>
        <w:pStyle w:val="Compact"/>
        <w:numPr>
          <w:ilvl w:val="0"/>
          <w:numId w:val="1001"/>
        </w:numPr>
      </w:pPr>
      <w:r>
        <w:rPr>
          <w:b/>
          <w:bCs/>
        </w:rPr>
        <w:t xml:space="preserve">The balance sheet has changed quickly.</w:t>
      </w:r>
    </w:p>
    <w:p>
      <w:pPr>
        <w:pStyle w:val="Compact"/>
        <w:numPr>
          <w:ilvl w:val="1"/>
          <w:numId w:val="1005"/>
        </w:numPr>
      </w:pPr>
      <w:r>
        <w:t xml:space="preserve">About $1.4B of convertible notes.</w:t>
      </w:r>
    </w:p>
    <w:p>
      <w:pPr>
        <w:pStyle w:val="Compact"/>
        <w:numPr>
          <w:ilvl w:val="1"/>
          <w:numId w:val="1005"/>
        </w:numPr>
      </w:pPr>
      <w:r>
        <w:t xml:space="preserve">About $0.87B owed to the sellers of acquired companies ($0.62B within a year).</w:t>
      </w:r>
    </w:p>
    <w:p>
      <w:pPr>
        <w:pStyle w:val="Compact"/>
        <w:numPr>
          <w:ilvl w:val="1"/>
          <w:numId w:val="1005"/>
        </w:numPr>
      </w:pPr>
      <w:r>
        <w:t xml:space="preserve">Against $0.84B of cash and investments.</w:t>
      </w:r>
    </w:p>
    <w:p>
      <w:pPr>
        <w:pStyle w:val="Compact"/>
        <w:numPr>
          <w:ilvl w:val="1"/>
          <w:numId w:val="1005"/>
        </w:numPr>
      </w:pPr>
      <w:r>
        <w:t xml:space="preserve">Book equity is smaller than goodwill and intangibles.</w:t>
      </w:r>
    </w:p>
    <w:p>
      <w:pPr>
        <w:pStyle w:val="Compact"/>
        <w:numPr>
          <w:ilvl w:val="0"/>
          <w:numId w:val="1001"/>
        </w:numPr>
      </w:pPr>
      <w:r>
        <w:rPr>
          <w:b/>
          <w:bCs/>
        </w:rPr>
        <w:t xml:space="preserve">Control:</w:t>
      </w:r>
      <w:r>
        <w:t xml:space="preserve"> </w:t>
      </w:r>
      <w:r>
        <w:t xml:space="preserve">the CEO holds about 90% of the shareholder votes through special shares, so outside</w:t>
      </w:r>
      <w:r>
        <w:t xml:space="preserve"> </w:t>
      </w:r>
      <w:r>
        <w:t xml:space="preserve">shareholders have little say.</w:t>
      </w:r>
    </w:p>
    <w:p>
      <w:pPr>
        <w:pStyle w:val="Compact"/>
        <w:numPr>
          <w:ilvl w:val="0"/>
          <w:numId w:val="1001"/>
        </w:numPr>
      </w:pPr>
      <w:r>
        <w:rPr>
          <w:b/>
          <w:bCs/>
        </w:rPr>
        <w:t xml:space="preserve">Valuation:</w:t>
      </w:r>
      <w:r>
        <w:t xml:space="preserve"> </w:t>
      </w:r>
      <w:r>
        <w:t xml:space="preserve">the stock is about $28.80 (search, 29 Sept), about 2.1× this year’s guided sales</w:t>
      </w:r>
      <w:r>
        <w:t xml:space="preserve"> </w:t>
      </w:r>
      <w:r>
        <w:t xml:space="preserve">and about 2.5× including net obligations. The company has no current earnings, so the outcome</w:t>
      </w:r>
      <w:r>
        <w:t xml:space="preserve"> </w:t>
      </w:r>
      <w:r>
        <w:t xml:space="preserve">depends almost entirely on whether it reaches its 2030 targets (section 6).</w:t>
      </w:r>
    </w:p>
    <w:p>
      <w:pPr>
        <w:pStyle w:val="Compact"/>
        <w:numPr>
          <w:ilvl w:val="0"/>
          <w:numId w:val="1001"/>
        </w:numPr>
      </w:pPr>
      <w:r>
        <w:rPr>
          <w:b/>
          <w:bCs/>
        </w:rPr>
        <w:t xml:space="preserve">Fact-check:</w:t>
      </w:r>
    </w:p>
    <w:p>
      <w:pPr>
        <w:pStyle w:val="Compact"/>
        <w:numPr>
          <w:ilvl w:val="1"/>
          <w:numId w:val="1006"/>
        </w:numPr>
      </w:pPr>
      <w:r>
        <w:rPr>
          <w:b/>
          <w:bCs/>
        </w:rPr>
        <w:t xml:space="preserve">Correct:</w:t>
      </w:r>
      <w:r>
        <w:t xml:space="preserve"> </w:t>
      </w:r>
      <w:r>
        <w:t xml:space="preserve">most of Gemini’s SEC figures.</w:t>
      </w:r>
    </w:p>
    <w:p>
      <w:pPr>
        <w:pStyle w:val="Compact"/>
        <w:numPr>
          <w:ilvl w:val="1"/>
          <w:numId w:val="1006"/>
        </w:numPr>
      </w:pPr>
      <w:r>
        <w:rPr>
          <w:b/>
          <w:bCs/>
        </w:rPr>
        <w:t xml:space="preserve">Wrong:</w:t>
      </w:r>
      <w:r>
        <w:t xml:space="preserve"> </w:t>
      </w:r>
      <w:r>
        <w:t xml:space="preserve">both Gemini reports say the company had</w:t>
      </w:r>
      <w:r>
        <w:t xml:space="preserve"> </w:t>
      </w:r>
      <w:r>
        <w:rPr>
          <w:b/>
          <w:bCs/>
        </w:rPr>
        <w:t xml:space="preserve">no long-term debt at the end of 2025</w:t>
      </w:r>
      <w:r>
        <w:t xml:space="preserve">.</w:t>
      </w:r>
      <w:r>
        <w:t xml:space="preserve"> </w:t>
      </w:r>
      <w:r>
        <w:t xml:space="preserve">It had $973M of convertible notes.</w:t>
      </w:r>
    </w:p>
    <w:p>
      <w:pPr>
        <w:pStyle w:val="Compact"/>
        <w:numPr>
          <w:ilvl w:val="1"/>
          <w:numId w:val="1006"/>
        </w:numPr>
      </w:pPr>
      <w:r>
        <w:rPr>
          <w:b/>
          <w:bCs/>
        </w:rPr>
        <w:t xml:space="preserve">Omitted:</w:t>
      </w:r>
      <w:r>
        <w:t xml:space="preserve"> </w:t>
      </w:r>
      <w:r>
        <w:t xml:space="preserve">Gemini’s SEC report leaves out the FTC lawsuit, and the scenario leaves out the</w:t>
      </w:r>
      <w:r>
        <w:t xml:space="preserve"> </w:t>
      </w:r>
      <w:r>
        <w:t xml:space="preserve">CEO’s voting control and the dilution from the 2032 notes.</w:t>
      </w:r>
    </w:p>
    <w:bookmarkEnd w:id="9"/>
    <w:bookmarkStart w:id="10" w:name="how-to-read-this-report"/>
    <w:p>
      <w:pPr>
        <w:pStyle w:val="Heading1"/>
      </w:pPr>
      <w:r>
        <w:t xml:space="preserve">How to read this report</w:t>
      </w:r>
    </w:p>
    <w:p>
      <w:pPr>
        <w:pStyle w:val="Compact"/>
        <w:numPr>
          <w:ilvl w:val="0"/>
          <w:numId w:val="1007"/>
        </w:numPr>
      </w:pPr>
      <w:r>
        <w:rPr>
          <w:b/>
          <w:bCs/>
        </w:rPr>
        <w:t xml:space="preserve">Sources:</w:t>
      </w:r>
      <w:r>
        <w:t xml:space="preserve"> </w:t>
      </w:r>
      <w:r>
        <w:t xml:space="preserve">SEC filings are the official record, and I checked the figures against them. Price,</w:t>
      </w:r>
      <w:r>
        <w:t xml:space="preserve"> </w:t>
      </w:r>
      <w:r>
        <w:t xml:space="preserve">analyst views, short interest and some news items come from Google Search. They are marked</w:t>
      </w:r>
      <w:r>
        <w:t xml:space="preserve"> </w:t>
      </w:r>
      <w:r>
        <w:rPr>
          <w:b/>
          <w:bCs/>
        </w:rPr>
        <w:t xml:space="preserve">unverified</w:t>
      </w:r>
      <w:r>
        <w:t xml:space="preserve">.</w:t>
      </w:r>
    </w:p>
    <w:p>
      <w:pPr>
        <w:pStyle w:val="Compact"/>
        <w:numPr>
          <w:ilvl w:val="0"/>
          <w:numId w:val="1007"/>
        </w:numPr>
      </w:pPr>
      <w:r>
        <w:rPr>
          <w:b/>
          <w:bCs/>
        </w:rPr>
        <w:t xml:space="preserve">Who wrote what:</w:t>
      </w:r>
    </w:p>
    <w:p>
      <w:pPr>
        <w:pStyle w:val="Compact"/>
        <w:numPr>
          <w:ilvl w:val="1"/>
          <w:numId w:val="1008"/>
        </w:numPr>
      </w:pPr>
      <w:r>
        <w:t xml:space="preserve">The main body is my analysis of the company and its risks.</w:t>
      </w:r>
    </w:p>
    <w:p>
      <w:pPr>
        <w:pStyle w:val="Compact"/>
        <w:numPr>
          <w:ilvl w:val="1"/>
          <w:numId w:val="1008"/>
        </w:numPr>
      </w:pPr>
      <w:r>
        <w:t xml:space="preserve">Appendices A and B are the Gemini research reports.</w:t>
      </w:r>
    </w:p>
    <w:p>
      <w:pPr>
        <w:pStyle w:val="Compact"/>
        <w:numPr>
          <w:ilvl w:val="1"/>
          <w:numId w:val="1008"/>
        </w:numPr>
      </w:pPr>
      <w:r>
        <w:t xml:space="preserve">Appendices C and D are Gemini’s educational scenario. I review them in section 11; they are not</w:t>
      </w:r>
      <w:r>
        <w:t xml:space="preserve"> </w:t>
      </w:r>
      <w:r>
        <w:t xml:space="preserve">my recommendations.</w:t>
      </w:r>
    </w:p>
    <w:p>
      <w:pPr>
        <w:pStyle w:val="Compact"/>
        <w:numPr>
          <w:ilvl w:val="0"/>
          <w:numId w:val="1007"/>
        </w:numPr>
      </w:pPr>
      <w:r>
        <w:rPr>
          <w:b/>
          <w:bCs/>
        </w:rPr>
        <w:t xml:space="preserve">Not advice:</w:t>
      </w:r>
      <w:r>
        <w:t xml:space="preserve"> </w:t>
      </w:r>
      <w:r>
        <w:t xml:space="preserve">this is educational material, not financial, tax or legal advice.</w:t>
      </w:r>
    </w:p>
    <w:bookmarkEnd w:id="10"/>
    <w:bookmarkStart w:id="11" w:name="fact-check-and-review-notes"/>
    <w:p>
      <w:pPr>
        <w:pStyle w:val="Heading1"/>
      </w:pPr>
      <w:r>
        <w:t xml:space="preserve">Fact-check and review notes</w:t>
      </w:r>
    </w:p>
    <w:p>
      <w:pPr>
        <w:pStyle w:val="FirstParagraph"/>
      </w:pPr>
      <w:r>
        <w:rPr>
          <w:b/>
          <w:bCs/>
        </w:rPr>
        <w:t xml:space="preserve">Verified against SEC filings</w:t>
      </w:r>
      <w:r>
        <w:t xml:space="preserve"> </w:t>
      </w:r>
      <w:r>
        <w:t xml:space="preserve">(FY2025 10-K; Q2 2026 10-Q and earnings release of 10 Aug 2026;</w:t>
      </w:r>
      <w:r>
        <w:t xml:space="preserve"> </w:t>
      </w:r>
      <w:r>
        <w:t xml:space="preserve">8-Ks):</w:t>
      </w:r>
    </w:p>
    <w:p>
      <w:pPr>
        <w:pStyle w:val="Compact"/>
        <w:numPr>
          <w:ilvl w:val="0"/>
          <w:numId w:val="1009"/>
        </w:numPr>
      </w:pPr>
      <w:r>
        <w:rPr>
          <w:b/>
          <w:bCs/>
        </w:rPr>
        <w:t xml:space="preserve">Annual revenue:</w:t>
      </w:r>
      <w:r>
        <w:t xml:space="preserve"> </w:t>
      </w:r>
      <w:r>
        <w:t xml:space="preserve">2021–2025, and 2025 growth of 59%.</w:t>
      </w:r>
    </w:p>
    <w:p>
      <w:pPr>
        <w:pStyle w:val="Compact"/>
        <w:numPr>
          <w:ilvl w:val="0"/>
          <w:numId w:val="1009"/>
        </w:numPr>
      </w:pPr>
      <w:r>
        <w:rPr>
          <w:b/>
          <w:bCs/>
        </w:rPr>
        <w:t xml:space="preserve">Operating income:</w:t>
      </w:r>
      <w:r>
        <w:t xml:space="preserve"> </w:t>
      </w:r>
      <w:r>
        <w:t xml:space="preserve">$61.9M (2024) and $105.6M (2025).</w:t>
      </w:r>
    </w:p>
    <w:p>
      <w:pPr>
        <w:pStyle w:val="Compact"/>
        <w:numPr>
          <w:ilvl w:val="0"/>
          <w:numId w:val="1009"/>
        </w:numPr>
      </w:pPr>
      <w:r>
        <w:rPr>
          <w:b/>
          <w:bCs/>
        </w:rPr>
        <w:t xml:space="preserve">2025 cash flow:</w:t>
      </w:r>
      <w:r>
        <w:t xml:space="preserve"> </w:t>
      </w:r>
      <w:r>
        <w:t xml:space="preserve">operating cash flow $300.0M; capital spending $242.6M; free cash flow</w:t>
      </w:r>
      <w:r>
        <w:t xml:space="preserve"> </w:t>
      </w:r>
      <w:r>
        <w:t xml:space="preserve">$57.4M.</w:t>
      </w:r>
    </w:p>
    <w:p>
      <w:pPr>
        <w:pStyle w:val="Compact"/>
        <w:numPr>
          <w:ilvl w:val="0"/>
          <w:numId w:val="1009"/>
        </w:numPr>
      </w:pPr>
      <w:r>
        <w:rPr>
          <w:b/>
          <w:bCs/>
        </w:rPr>
        <w:t xml:space="preserve">Q2 2026 results:</w:t>
      </w:r>
    </w:p>
    <w:p>
      <w:pPr>
        <w:pStyle w:val="Compact"/>
        <w:numPr>
          <w:ilvl w:val="1"/>
          <w:numId w:val="1010"/>
        </w:numPr>
      </w:pPr>
      <w:r>
        <w:t xml:space="preserve">Revenue $753.2M (+38%); US revenue +16%, rest of world $131.4M.</w:t>
      </w:r>
    </w:p>
    <w:p>
      <w:pPr>
        <w:pStyle w:val="Compact"/>
        <w:numPr>
          <w:ilvl w:val="1"/>
          <w:numId w:val="1010"/>
        </w:numPr>
      </w:pPr>
      <w:r>
        <w:t xml:space="preserve">Gross margin 64% vs 76%.</w:t>
      </w:r>
    </w:p>
    <w:p>
      <w:pPr>
        <w:pStyle w:val="Compact"/>
        <w:numPr>
          <w:ilvl w:val="1"/>
          <w:numId w:val="1010"/>
        </w:numPr>
      </w:pPr>
      <w:r>
        <w:t xml:space="preserve">Net loss $86.3M.</w:t>
      </w:r>
    </w:p>
    <w:p>
      <w:pPr>
        <w:pStyle w:val="Compact"/>
        <w:numPr>
          <w:ilvl w:val="1"/>
          <w:numId w:val="1010"/>
        </w:numPr>
      </w:pPr>
      <w:r>
        <w:t xml:space="preserve">Adjusted EBITDA $60.3M, after adding back $47.5M of legal accruals, $42.1M of stock pay,</w:t>
      </w:r>
      <w:r>
        <w:t xml:space="preserve"> </w:t>
      </w:r>
      <w:r>
        <w:t xml:space="preserve">$28.8M of deal costs and $4.6M of restructuring.</w:t>
      </w:r>
    </w:p>
    <w:p>
      <w:pPr>
        <w:pStyle w:val="Compact"/>
        <w:numPr>
          <w:ilvl w:val="0"/>
          <w:numId w:val="1009"/>
        </w:numPr>
      </w:pPr>
      <w:r>
        <w:rPr>
          <w:b/>
          <w:bCs/>
        </w:rPr>
        <w:t xml:space="preserve">Guidance:</w:t>
      </w:r>
      <w:r>
        <w:t xml:space="preserve"> </w:t>
      </w:r>
      <w:r>
        <w:t xml:space="preserve">2026 revenue $3.1–3.3B; 2030 targets of $6.5B revenue and $1.3B adjusted EBITDA.</w:t>
      </w:r>
    </w:p>
    <w:p>
      <w:pPr>
        <w:pStyle w:val="Compact"/>
        <w:numPr>
          <w:ilvl w:val="0"/>
          <w:numId w:val="1009"/>
        </w:numPr>
      </w:pPr>
      <w:r>
        <w:rPr>
          <w:b/>
          <w:bCs/>
        </w:rPr>
        <w:t xml:space="preserve">Business mix:</w:t>
      </w:r>
      <w:r>
        <w:t xml:space="preserve"> </w:t>
      </w:r>
      <w:r>
        <w:t xml:space="preserve">personalized offerings were over 70% of US revenue in 2025, and the Hers brand</w:t>
      </w:r>
      <w:r>
        <w:t xml:space="preserve"> </w:t>
      </w:r>
      <w:r>
        <w:t xml:space="preserve">about 40%. Customer acquisition cost was $798.5M in 2025.</w:t>
      </w:r>
    </w:p>
    <w:p>
      <w:pPr>
        <w:pStyle w:val="Compact"/>
        <w:numPr>
          <w:ilvl w:val="0"/>
          <w:numId w:val="1009"/>
        </w:numPr>
      </w:pPr>
      <w:r>
        <w:rPr>
          <w:b/>
          <w:bCs/>
        </w:rPr>
        <w:t xml:space="preserve">Acquisitions:</w:t>
      </w:r>
      <w:r>
        <w:t xml:space="preserve"> </w:t>
      </w:r>
      <w:r>
        <w:t xml:space="preserve">Zava (2025), Medici (2025), YourBio (Jan 2026), Eucalyptus (June 2026).</w:t>
      </w:r>
    </w:p>
    <w:p>
      <w:pPr>
        <w:pStyle w:val="Compact"/>
        <w:numPr>
          <w:ilvl w:val="0"/>
          <w:numId w:val="1009"/>
        </w:numPr>
      </w:pPr>
      <w:r>
        <w:rPr>
          <w:b/>
          <w:bCs/>
        </w:rPr>
        <w:t xml:space="preserve">Regulatory and legal:</w:t>
      </w:r>
      <w:r>
        <w:t xml:space="preserve"> </w:t>
      </w:r>
      <w:r>
        <w:t xml:space="preserve">the FDA statement naming Hims and the HHS referral to the DOJ (Feb</w:t>
      </w:r>
      <w:r>
        <w:t xml:space="preserve"> </w:t>
      </w:r>
      <w:r>
        <w:t xml:space="preserve">2026); the Novo Nordisk patent suit (9 Feb 2026).</w:t>
      </w:r>
    </w:p>
    <w:p>
      <w:pPr>
        <w:pStyle w:val="Compact"/>
        <w:numPr>
          <w:ilvl w:val="0"/>
          <w:numId w:val="1009"/>
        </w:numPr>
      </w:pPr>
      <w:r>
        <w:rPr>
          <w:b/>
          <w:bCs/>
        </w:rPr>
        <w:t xml:space="preserve">Voting control:</w:t>
      </w:r>
      <w:r>
        <w:t xml:space="preserve"> </w:t>
      </w:r>
      <w:r>
        <w:t xml:space="preserve">Class V shares carry 175 votes each and give the CEO about 90% of voting</w:t>
      </w:r>
      <w:r>
        <w:t xml:space="preserve"> </w:t>
      </w:r>
      <w:r>
        <w:t xml:space="preserve">power.</w:t>
      </w:r>
    </w:p>
    <w:p>
      <w:pPr>
        <w:pStyle w:val="Compact"/>
        <w:numPr>
          <w:ilvl w:val="0"/>
          <w:numId w:val="1009"/>
        </w:numPr>
      </w:pPr>
      <w:r>
        <w:rPr>
          <w:b/>
          <w:bCs/>
        </w:rPr>
        <w:t xml:space="preserve">Insider trades:</w:t>
      </w:r>
      <w:r>
        <w:t xml:space="preserve"> </w:t>
      </w:r>
      <w:r>
        <w:t xml:space="preserve">no open-market insider purchases, and about $5.6M of sales. The executives’</w:t>
      </w:r>
      <w:r>
        <w:t xml:space="preserve"> </w:t>
      </w:r>
      <w:r>
        <w:t xml:space="preserve">sales were flagged as pre-scheduled 10b5-1 plans.</w:t>
      </w:r>
    </w:p>
    <w:p>
      <w:pPr>
        <w:pStyle w:val="Compact"/>
        <w:numPr>
          <w:ilvl w:val="0"/>
          <w:numId w:val="1009"/>
        </w:numPr>
      </w:pPr>
      <w:r>
        <w:rPr>
          <w:b/>
          <w:bCs/>
        </w:rPr>
        <w:t xml:space="preserve">No dividend.</w:t>
      </w:r>
    </w:p>
    <w:p>
      <w:pPr>
        <w:pStyle w:val="FirstParagraph"/>
      </w:pPr>
      <w:r>
        <w:rPr>
          <w:b/>
          <w:bCs/>
        </w:rPr>
        <w:t xml:space="preserve">Errors or omissions in the Gemini output:</w:t>
      </w:r>
    </w:p>
    <w:p>
      <w:pPr>
        <w:pStyle w:val="Compact"/>
        <w:numPr>
          <w:ilvl w:val="0"/>
          <w:numId w:val="1011"/>
        </w:numPr>
      </w:pPr>
      <w:r>
        <w:rPr>
          <w:b/>
          <w:bCs/>
        </w:rPr>
        <w:t xml:space="preserve">Debt:</w:t>
      </w:r>
      <w:r>
        <w:t xml:space="preserve"> </w:t>
      </w:r>
      <w:r>
        <w:t xml:space="preserve">the SEC report, strategy and plan all say long-term debt was</w:t>
      </w:r>
      <w:r>
        <w:t xml:space="preserve"> </w:t>
      </w:r>
      <w:r>
        <w:rPr>
          <w:b/>
          <w:bCs/>
        </w:rPr>
        <w:t xml:space="preserve">$0</w:t>
      </w:r>
      <w:r>
        <w:t xml:space="preserve"> </w:t>
      </w:r>
      <w:r>
        <w:t xml:space="preserve">at the end of 2025.</w:t>
      </w:r>
      <w:r>
        <w:t xml:space="preserve"> </w:t>
      </w:r>
      <w:r>
        <w:t xml:space="preserve">It was</w:t>
      </w:r>
      <w:r>
        <w:t xml:space="preserve"> </w:t>
      </w:r>
      <w:r>
        <w:rPr>
          <w:b/>
          <w:bCs/>
        </w:rPr>
        <w:t xml:space="preserve">$972.6M of convertible notes</w:t>
      </w:r>
      <w:r>
        <w:t xml:space="preserve"> </w:t>
      </w:r>
      <w:r>
        <w:t xml:space="preserve">(issued May 2025). This happened because our data tool</w:t>
      </w:r>
      <w:r>
        <w:t xml:space="preserve"> </w:t>
      </w:r>
      <w:r>
        <w:t xml:space="preserve">didn’t recognize that SEC label, and it is now fixed. Another $402.5M of notes followed in</w:t>
      </w:r>
      <w:r>
        <w:t xml:space="preserve"> </w:t>
      </w:r>
      <w:r>
        <w:t xml:space="preserve">May 2026.</w:t>
      </w:r>
    </w:p>
    <w:p>
      <w:pPr>
        <w:pStyle w:val="Compact"/>
        <w:numPr>
          <w:ilvl w:val="0"/>
          <w:numId w:val="1011"/>
        </w:numPr>
      </w:pPr>
      <w:r>
        <w:rPr>
          <w:b/>
          <w:bCs/>
        </w:rPr>
        <w:t xml:space="preserve">FTC lawsuit left out:</w:t>
      </w:r>
      <w:r>
        <w:t xml:space="preserve"> </w:t>
      </w:r>
      <w:r>
        <w:t xml:space="preserve">the SEC report doesn’t mention the FTC lawsuit (filed 29 July 2026,</w:t>
      </w:r>
      <w:r>
        <w:t xml:space="preserve"> </w:t>
      </w:r>
      <w:r>
        <w:t xml:space="preserve">about $60M accrued). This is the most significant new legal event. The market report does cover</w:t>
      </w:r>
      <w:r>
        <w:t xml:space="preserve"> </w:t>
      </w:r>
      <w:r>
        <w:t xml:space="preserve">it.</w:t>
      </w:r>
    </w:p>
    <w:p>
      <w:pPr>
        <w:pStyle w:val="Compact"/>
        <w:numPr>
          <w:ilvl w:val="0"/>
          <w:numId w:val="1011"/>
        </w:numPr>
      </w:pPr>
      <w:r>
        <w:rPr>
          <w:b/>
          <w:bCs/>
        </w:rPr>
        <w:t xml:space="preserve">Filing mislabeled:</w:t>
      </w:r>
      <w:r>
        <w:t xml:space="preserve"> </w:t>
      </w:r>
      <w:r>
        <w:t xml:space="preserve">the 17 July 2026 8-K is described as</w:t>
      </w:r>
      <w:r>
        <w:t xml:space="preserve"> </w:t>
      </w:r>
      <w:r>
        <w:t xml:space="preserve">“leadership and compensation</w:t>
      </w:r>
      <w:r>
        <w:t xml:space="preserve"> </w:t>
      </w:r>
      <w:r>
        <w:t xml:space="preserve">updates”</w:t>
      </w:r>
      <w:r>
        <w:t xml:space="preserve">. It is the</w:t>
      </w:r>
      <w:r>
        <w:t xml:space="preserve"> </w:t>
      </w:r>
      <w:r>
        <w:rPr>
          <w:b/>
          <w:bCs/>
        </w:rPr>
        <w:t xml:space="preserve">Chief Accounting Officer’s resignation</w:t>
      </w:r>
      <w:r>
        <w:t xml:space="preserve">, effective 9 Oct 2026. The company</w:t>
      </w:r>
      <w:r>
        <w:t xml:space="preserve"> </w:t>
      </w:r>
      <w:r>
        <w:t xml:space="preserve">says there was no disagreement over accounting.</w:t>
      </w:r>
    </w:p>
    <w:p>
      <w:pPr>
        <w:pStyle w:val="Compact"/>
        <w:numPr>
          <w:ilvl w:val="0"/>
          <w:numId w:val="1011"/>
        </w:numPr>
      </w:pPr>
      <w:r>
        <w:rPr>
          <w:b/>
          <w:bCs/>
        </w:rPr>
        <w:t xml:space="preserve">The strategy scenario leaves out:</w:t>
      </w:r>
    </w:p>
    <w:p>
      <w:pPr>
        <w:pStyle w:val="Compact"/>
        <w:numPr>
          <w:ilvl w:val="1"/>
          <w:numId w:val="1012"/>
        </w:numPr>
      </w:pPr>
      <w:r>
        <w:t xml:space="preserve">the CEO’s 90% voting control;</w:t>
      </w:r>
    </w:p>
    <w:p>
      <w:pPr>
        <w:pStyle w:val="Compact"/>
        <w:numPr>
          <w:ilvl w:val="1"/>
          <w:numId w:val="1012"/>
        </w:numPr>
      </w:pPr>
      <w:r>
        <w:t xml:space="preserve">the conversion price of the 2032 notes (about $29.53, roughly today’s price);</w:t>
      </w:r>
    </w:p>
    <w:p>
      <w:pPr>
        <w:pStyle w:val="Compact"/>
        <w:numPr>
          <w:ilvl w:val="1"/>
          <w:numId w:val="1012"/>
        </w:numPr>
      </w:pPr>
      <w:r>
        <w:t xml:space="preserve">the Novo Nordisk injunction request.</w:t>
      </w:r>
    </w:p>
    <w:p>
      <w:pPr>
        <w:pStyle w:val="Compact"/>
        <w:numPr>
          <w:ilvl w:val="0"/>
          <w:numId w:val="1011"/>
        </w:numPr>
      </w:pPr>
      <w:r>
        <w:rPr>
          <w:b/>
          <w:bCs/>
        </w:rPr>
        <w:t xml:space="preserve">The position plan contradicts itself:</w:t>
      </w:r>
      <w:r>
        <w:t xml:space="preserve"> </w:t>
      </w:r>
      <w:r>
        <w:t xml:space="preserve">one of its</w:t>
      </w:r>
      <w:r>
        <w:t xml:space="preserve"> </w:t>
      </w:r>
      <w:r>
        <w:t xml:space="preserve">“exit”</w:t>
      </w:r>
      <w:r>
        <w:t xml:space="preserve"> </w:t>
      </w:r>
      <w:r>
        <w:t xml:space="preserve">signals is debt above 4× operating</w:t>
      </w:r>
      <w:r>
        <w:t xml:space="preserve"> </w:t>
      </w:r>
      <w:r>
        <w:t xml:space="preserve">cash flow. That is already the case (about 4.7× on 2025 cash flow).</w:t>
      </w:r>
    </w:p>
    <w:p>
      <w:pPr>
        <w:pStyle w:val="FirstParagraph"/>
      </w:pPr>
      <w:r>
        <w:rPr>
          <w:b/>
          <w:bCs/>
        </w:rPr>
        <w:t xml:space="preserve">Unverified (from Google Search):</w:t>
      </w:r>
    </w:p>
    <w:p>
      <w:pPr>
        <w:pStyle w:val="Compact"/>
        <w:numPr>
          <w:ilvl w:val="0"/>
          <w:numId w:val="1013"/>
        </w:numPr>
      </w:pPr>
      <w:r>
        <w:t xml:space="preserve">Price ~$28.80, market cap ~$6.9B, 52-week range $13.74–$65.30.</w:t>
      </w:r>
    </w:p>
    <w:p>
      <w:pPr>
        <w:pStyle w:val="Compact"/>
        <w:numPr>
          <w:ilvl w:val="0"/>
          <w:numId w:val="1013"/>
        </w:numPr>
      </w:pPr>
      <w:r>
        <w:t xml:space="preserve">Short interest 25.7%, and analyst consensus</w:t>
      </w:r>
      <w:r>
        <w:t xml:space="preserve"> </w:t>
      </w:r>
      <w:r>
        <w:t xml:space="preserve">“Hold”</w:t>
      </w:r>
      <w:r>
        <w:t xml:space="preserve"> </w:t>
      </w:r>
      <w:r>
        <w:t xml:space="preserve">with a $32 target.</w:t>
      </w:r>
    </w:p>
    <w:p>
      <w:pPr>
        <w:pStyle w:val="Compact"/>
        <w:numPr>
          <w:ilvl w:val="0"/>
          <w:numId w:val="1013"/>
        </w:numPr>
      </w:pPr>
      <w:r>
        <w:t xml:space="preserve">Details of the FTC’s data-sharing allegations (these come from law-firm press releases).</w:t>
      </w:r>
    </w:p>
    <w:p>
      <w:pPr>
        <w:pStyle w:val="Compact"/>
        <w:numPr>
          <w:ilvl w:val="0"/>
          <w:numId w:val="1013"/>
        </w:numPr>
      </w:pPr>
      <w:r>
        <w:t xml:space="preserve">The Australia rebrand, and FY2026/27 EPS estimates.</w:t>
      </w:r>
    </w:p>
    <w:bookmarkEnd w:id="11"/>
    <w:bookmarkStart w:id="12" w:name="the-business"/>
    <w:p>
      <w:pPr>
        <w:pStyle w:val="Heading1"/>
      </w:pPr>
      <w:r>
        <w:t xml:space="preserve">The business</w:t>
      </w:r>
    </w:p>
    <w:p>
      <w:pPr>
        <w:pStyle w:val="FirstParagraph"/>
      </w:pPr>
      <w:r>
        <w:t xml:space="preserve">Hims &amp; Hers runs a consumer telehealth platform. It markets heavily to consumers (customer</w:t>
      </w:r>
      <w:r>
        <w:t xml:space="preserve"> </w:t>
      </w:r>
      <w:r>
        <w:t xml:space="preserve">acquisition cost was about a third of revenue), connects them with clinicians, and fulfils</w:t>
      </w:r>
      <w:r>
        <w:t xml:space="preserve"> </w:t>
      </w:r>
      <w:r>
        <w:t xml:space="preserve">prescriptions through its own and partner pharmacies, mostly as recurring subscriptions.</w:t>
      </w:r>
    </w:p>
    <w:p>
      <w:pPr>
        <w:pStyle w:val="BodyText"/>
      </w:pPr>
      <w:r>
        <w:rPr>
          <w:b/>
          <w:bCs/>
        </w:rPr>
        <w:t xml:space="preserve">How it’s structured:</w:t>
      </w:r>
      <w:r>
        <w:t xml:space="preserve"> </w:t>
      </w:r>
      <w:r>
        <w:t xml:space="preserve">because most US states restrict companies from employing doctors</w:t>
      </w:r>
      <w:r>
        <w:t xml:space="preserve"> </w:t>
      </w:r>
      <w:r>
        <w:t xml:space="preserve">(</w:t>
      </w:r>
      <w:r>
        <w:t xml:space="preserve">“corporate practice of medicine”</w:t>
      </w:r>
      <w:r>
        <w:t xml:space="preserve"> </w:t>
      </w:r>
      <w:r>
        <w:t xml:space="preserve">rules), clinicians work through</w:t>
      </w:r>
      <w:r>
        <w:t xml:space="preserve"> </w:t>
      </w:r>
      <w:r>
        <w:rPr>
          <w:b/>
          <w:bCs/>
        </w:rPr>
        <w:t xml:space="preserve">affiliated medical groups that</w:t>
      </w:r>
      <w:r>
        <w:rPr>
          <w:b/>
          <w:bCs/>
        </w:rPr>
        <w:t xml:space="preserve"> </w:t>
      </w:r>
      <w:r>
        <w:rPr>
          <w:b/>
          <w:bCs/>
        </w:rPr>
        <w:t xml:space="preserve">Hims does not own</w:t>
      </w:r>
      <w:r>
        <w:t xml:space="preserve"> </w:t>
      </w:r>
      <w:r>
        <w:t xml:space="preserve">but controls by contract. The 10-K lists this as a key risk.</w:t>
      </w:r>
    </w:p>
    <w:p>
      <w:pPr>
        <w:pStyle w:val="BodyText"/>
      </w:pPr>
      <w:r>
        <w:rPr>
          <w:b/>
          <w:bCs/>
        </w:rPr>
        <w:t xml:space="preserve">What it sells:</w:t>
      </w:r>
    </w:p>
    <w:p>
      <w:pPr>
        <w:pStyle w:val="Compact"/>
        <w:numPr>
          <w:ilvl w:val="0"/>
          <w:numId w:val="1014"/>
        </w:numPr>
      </w:pPr>
      <w:r>
        <w:t xml:space="preserve">Sexual health, hair loss, dermatology, mental health, hormone therapy, weight loss, and lab</w:t>
      </w:r>
      <w:r>
        <w:t xml:space="preserve"> </w:t>
      </w:r>
      <w:r>
        <w:t xml:space="preserve">testing.</w:t>
      </w:r>
    </w:p>
    <w:p>
      <w:pPr>
        <w:pStyle w:val="Compact"/>
        <w:numPr>
          <w:ilvl w:val="0"/>
          <w:numId w:val="1014"/>
        </w:numPr>
      </w:pPr>
      <w:r>
        <w:rPr>
          <w:b/>
          <w:bCs/>
        </w:rPr>
        <w:t xml:space="preserve">Personalized</w:t>
      </w:r>
      <w:r>
        <w:t xml:space="preserve"> </w:t>
      </w:r>
      <w:r>
        <w:t xml:space="preserve">products (custom doses and combinations, many of them compounded) were over 70%</w:t>
      </w:r>
      <w:r>
        <w:t xml:space="preserve"> </w:t>
      </w:r>
      <w:r>
        <w:t xml:space="preserve">of US revenue in 2025, up from about half in 2024.</w:t>
      </w:r>
    </w:p>
    <w:p>
      <w:pPr>
        <w:pStyle w:val="Compact"/>
        <w:numPr>
          <w:ilvl w:val="0"/>
          <w:numId w:val="1014"/>
        </w:numPr>
      </w:pPr>
      <w:r>
        <w:t xml:space="preserve">The Hers brand is about 40% of US revenue.</w:t>
      </w:r>
    </w:p>
    <w:p>
      <w:pPr>
        <w:pStyle w:val="FirstParagraph"/>
      </w:pPr>
      <w:r>
        <w:rPr>
          <w:b/>
          <w:bCs/>
        </w:rPr>
        <w:t xml:space="preserve">The weight-loss pivot:</w:t>
      </w:r>
    </w:p>
    <w:p>
      <w:pPr>
        <w:pStyle w:val="Compact"/>
        <w:numPr>
          <w:ilvl w:val="0"/>
          <w:numId w:val="1015"/>
        </w:numPr>
      </w:pPr>
      <w:r>
        <w:t xml:space="preserve">Hims began offering compounded semaglutide in May 2024, during the FDA shortage of Wegovy and</w:t>
      </w:r>
      <w:r>
        <w:t xml:space="preserve"> </w:t>
      </w:r>
      <w:r>
        <w:t xml:space="preserve">Ozempic.</w:t>
      </w:r>
    </w:p>
    <w:p>
      <w:pPr>
        <w:pStyle w:val="Compact"/>
        <w:numPr>
          <w:ilvl w:val="0"/>
          <w:numId w:val="1015"/>
        </w:numPr>
      </w:pPr>
      <w:r>
        <w:t xml:space="preserve">The FDA declared the shortage over in February 2025, which ended the use of large 503B</w:t>
      </w:r>
      <w:r>
        <w:t xml:space="preserve"> </w:t>
      </w:r>
      <w:r>
        <w:t xml:space="preserve">outsourcing facilities.</w:t>
      </w:r>
    </w:p>
    <w:p>
      <w:pPr>
        <w:pStyle w:val="Compact"/>
        <w:numPr>
          <w:ilvl w:val="0"/>
          <w:numId w:val="1015"/>
        </w:numPr>
      </w:pPr>
      <w:r>
        <w:t xml:space="preserve">In February 2026 the FDA said it would restrict GLP-1 ingredients for mass-marketed compounded</w:t>
      </w:r>
      <w:r>
        <w:t xml:space="preserve"> </w:t>
      </w:r>
      <w:r>
        <w:t xml:space="preserve">copies, and</w:t>
      </w:r>
      <w:r>
        <w:t xml:space="preserve"> </w:t>
      </w:r>
      <w:r>
        <w:rPr>
          <w:b/>
          <w:bCs/>
        </w:rPr>
        <w:t xml:space="preserve">named Hims</w:t>
      </w:r>
      <w:r>
        <w:t xml:space="preserve">.</w:t>
      </w:r>
    </w:p>
    <w:p>
      <w:pPr>
        <w:pStyle w:val="Compact"/>
        <w:numPr>
          <w:ilvl w:val="0"/>
          <w:numId w:val="1015"/>
        </w:numPr>
      </w:pPr>
      <w:r>
        <w:t xml:space="preserve">In March 2026 Hims switched its US weight-loss offering mainly to</w:t>
      </w:r>
      <w:r>
        <w:t xml:space="preserve"> </w:t>
      </w:r>
      <w:r>
        <w:rPr>
          <w:b/>
          <w:bCs/>
        </w:rPr>
        <w:t xml:space="preserve">branded</w:t>
      </w:r>
      <w:r>
        <w:t xml:space="preserve"> </w:t>
      </w:r>
      <w:r>
        <w:t xml:space="preserve">GLP-1s, with</w:t>
      </w:r>
      <w:r>
        <w:t xml:space="preserve"> </w:t>
      </w:r>
      <w:r>
        <w:t xml:space="preserve">compounded versions only</w:t>
      </w:r>
      <w:r>
        <w:t xml:space="preserve"> </w:t>
      </w:r>
      <w:r>
        <w:t xml:space="preserve">“on a limited scale”</w:t>
      </w:r>
      <w:r>
        <w:t xml:space="preserve">. That cost $38M in restructuring.</w:t>
      </w:r>
    </w:p>
    <w:p>
      <w:pPr>
        <w:pStyle w:val="Compact"/>
        <w:numPr>
          <w:ilvl w:val="0"/>
          <w:numId w:val="1015"/>
        </w:numPr>
      </w:pPr>
      <w:r>
        <w:t xml:space="preserve">Branded drugs carry much lower margins for Hims, which is the main reason gross margin fell from</w:t>
      </w:r>
      <w:r>
        <w:t xml:space="preserve"> </w:t>
      </w:r>
      <w:r>
        <w:t xml:space="preserve">76% to 64%.</w:t>
      </w:r>
    </w:p>
    <w:p>
      <w:pPr>
        <w:pStyle w:val="Compact"/>
        <w:numPr>
          <w:ilvl w:val="0"/>
          <w:numId w:val="1015"/>
        </w:numPr>
      </w:pPr>
      <w:r>
        <w:t xml:space="preserve">The balance sheet now shows $347M of manufacturer rebates owed to Hims. In July, JPMorgan agreed</w:t>
      </w:r>
      <w:r>
        <w:t xml:space="preserve"> </w:t>
      </w:r>
      <w:r>
        <w:t xml:space="preserve">to buy up to $400M of these receivables.</w:t>
      </w:r>
    </w:p>
    <w:p>
      <w:pPr>
        <w:pStyle w:val="FirstParagraph"/>
      </w:pPr>
      <w:r>
        <w:rPr>
          <w:b/>
          <w:bCs/>
        </w:rPr>
        <w:t xml:space="preserve">International:</w:t>
      </w:r>
      <w:r>
        <w:t xml:space="preserve"> </w:t>
      </w:r>
      <w:r>
        <w:t xml:space="preserve">the company bought Zava (UK/EU), Medici (Canada) and Eucalyptus (Australia, UK,</w:t>
      </w:r>
      <w:r>
        <w:t xml:space="preserve"> </w:t>
      </w:r>
      <w:r>
        <w:t xml:space="preserve">Germany, Japan and others). Rest-of-world revenue rose from $7.5M to $131.4M a quarter, mostly</w:t>
      </w:r>
      <w:r>
        <w:t xml:space="preserve"> </w:t>
      </w:r>
      <w:r>
        <w:t xml:space="preserve">through acquisitions.</w:t>
      </w:r>
    </w:p>
    <w:bookmarkEnd w:id="12"/>
    <w:bookmarkStart w:id="13" w:name="financial-record"/>
    <w:p>
      <w:pPr>
        <w:pStyle w:val="Heading1"/>
      </w:pPr>
      <w:r>
        <w:t xml:space="preserve">Financial record</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t xml:space="preserve">Year</w:t>
            </w:r>
          </w:p>
        </w:tc>
        <w:tc>
          <w:tcPr/>
          <w:p>
            <w:pPr>
              <w:pStyle w:val="Compact"/>
            </w:pPr>
            <w:r>
              <w:t xml:space="preserve">Revenue</w:t>
            </w:r>
          </w:p>
        </w:tc>
        <w:tc>
          <w:tcPr/>
          <w:p>
            <w:pPr>
              <w:pStyle w:val="Compact"/>
            </w:pPr>
            <w:r>
              <w:t xml:space="preserve">Growth</w:t>
            </w:r>
          </w:p>
        </w:tc>
        <w:tc>
          <w:tcPr/>
          <w:p>
            <w:pPr>
              <w:pStyle w:val="Compact"/>
            </w:pPr>
            <w:r>
              <w:t xml:space="preserve">Gross margin</w:t>
            </w:r>
          </w:p>
        </w:tc>
        <w:tc>
          <w:tcPr/>
          <w:p>
            <w:pPr>
              <w:pStyle w:val="Compact"/>
            </w:pPr>
            <w:r>
              <w:t xml:space="preserve">Op. margin</w:t>
            </w:r>
          </w:p>
        </w:tc>
        <w:tc>
          <w:tcPr/>
          <w:p>
            <w:pPr>
              <w:pStyle w:val="Compact"/>
            </w:pPr>
            <w:r>
              <w:t xml:space="preserve">Net income</w:t>
            </w:r>
          </w:p>
        </w:tc>
        <w:tc>
          <w:tcPr/>
          <w:p>
            <w:pPr>
              <w:pStyle w:val="Compact"/>
            </w:pPr>
            <w:r>
              <w:t xml:space="preserve">Diluted EPS</w:t>
            </w:r>
          </w:p>
        </w:tc>
        <w:tc>
          <w:tcPr/>
          <w:p>
            <w:pPr>
              <w:pStyle w:val="Compact"/>
            </w:pPr>
            <w:r>
              <w:t xml:space="preserve">Op. cash flow</w:t>
            </w:r>
          </w:p>
        </w:tc>
        <w:tc>
          <w:tcPr/>
          <w:p>
            <w:pPr>
              <w:pStyle w:val="Compact"/>
            </w:pPr>
            <w:r>
              <w:t xml:space="preserve">Capex</w:t>
            </w:r>
          </w:p>
        </w:tc>
        <w:tc>
          <w:tcPr/>
          <w:p>
            <w:pPr>
              <w:pStyle w:val="Compact"/>
            </w:pPr>
            <w:r>
              <w:t xml:space="preserve">Free cash flow</w:t>
            </w:r>
          </w:p>
        </w:tc>
        <w:tc>
          <w:tcPr/>
          <w:p>
            <w:pPr>
              <w:pStyle w:val="Compact"/>
            </w:pPr>
            <w:r>
              <w:t xml:space="preserve">Diluted shares</w:t>
            </w:r>
          </w:p>
        </w:tc>
      </w:tr>
      <w:tr>
        <w:tc>
          <w:tcPr/>
          <w:p>
            <w:pPr>
              <w:pStyle w:val="Compact"/>
            </w:pPr>
            <w:r>
              <w:t xml:space="preserve">H1 2026*</w:t>
            </w:r>
          </w:p>
        </w:tc>
        <w:tc>
          <w:tcPr/>
          <w:p>
            <w:pPr>
              <w:pStyle w:val="Compact"/>
            </w:pPr>
            <w:r>
              <w:t xml:space="preserve">$1,361M</w:t>
            </w:r>
          </w:p>
        </w:tc>
        <w:tc>
          <w:tcPr/>
          <w:p>
            <w:pPr>
              <w:pStyle w:val="Compact"/>
            </w:pPr>
            <w:r>
              <w:t xml:space="preserve">+20%</w:t>
            </w:r>
          </w:p>
        </w:tc>
        <w:tc>
          <w:tcPr/>
          <w:p>
            <w:pPr>
              <w:pStyle w:val="Compact"/>
            </w:pPr>
            <w:r>
              <w:t xml:space="preserve">64%</w:t>
            </w:r>
          </w:p>
        </w:tc>
        <w:tc>
          <w:tcPr/>
          <w:p>
            <w:pPr>
              <w:pStyle w:val="Compact"/>
            </w:pPr>
            <w:r>
              <w:t xml:space="preserve">-12.9%</w:t>
            </w:r>
          </w:p>
        </w:tc>
        <w:tc>
          <w:tcPr/>
          <w:p>
            <w:pPr>
              <w:pStyle w:val="Compact"/>
            </w:pPr>
            <w:r>
              <w:t xml:space="preserve">-$178M</w:t>
            </w:r>
          </w:p>
        </w:tc>
        <w:tc>
          <w:tcPr/>
          <w:p>
            <w:pPr>
              <w:pStyle w:val="Compact"/>
            </w:pPr>
            <w:r>
              <w:t xml:space="preserve">-$0.78</w:t>
            </w:r>
          </w:p>
        </w:tc>
        <w:tc>
          <w:tcPr/>
          <w:p>
            <w:pPr>
              <w:pStyle w:val="Compact"/>
            </w:pPr>
            <w:r>
              <w:t xml:space="preserve">$53M</w:t>
            </w:r>
          </w:p>
        </w:tc>
        <w:tc>
          <w:tcPr/>
          <w:p>
            <w:pPr>
              <w:pStyle w:val="Compact"/>
            </w:pPr>
            <w:r>
              <w:t xml:space="preserve">$69M</w:t>
            </w:r>
          </w:p>
        </w:tc>
        <w:tc>
          <w:tcPr/>
          <w:p>
            <w:pPr>
              <w:pStyle w:val="Compact"/>
            </w:pPr>
            <w:r>
              <w:t xml:space="preserve">-$15M</w:t>
            </w:r>
          </w:p>
        </w:tc>
        <w:tc>
          <w:tcPr/>
          <w:p>
            <w:pPr>
              <w:pStyle w:val="Compact"/>
            </w:pPr>
            <w:r>
              <w:t xml:space="preserve">~233M basic</w:t>
            </w:r>
          </w:p>
        </w:tc>
      </w:tr>
      <w:tr>
        <w:tc>
          <w:tcPr/>
          <w:p>
            <w:pPr>
              <w:pStyle w:val="Compact"/>
            </w:pPr>
            <w:r>
              <w:t xml:space="preserve">2025</w:t>
            </w:r>
          </w:p>
        </w:tc>
        <w:tc>
          <w:tcPr/>
          <w:p>
            <w:pPr>
              <w:pStyle w:val="Compact"/>
            </w:pPr>
            <w:r>
              <w:t xml:space="preserve">$2,348M</w:t>
            </w:r>
          </w:p>
        </w:tc>
        <w:tc>
          <w:tcPr/>
          <w:p>
            <w:pPr>
              <w:pStyle w:val="Compact"/>
            </w:pPr>
            <w:r>
              <w:t xml:space="preserve">+59%</w:t>
            </w:r>
          </w:p>
        </w:tc>
        <w:tc>
          <w:tcPr/>
          <w:p>
            <w:pPr>
              <w:pStyle w:val="Compact"/>
            </w:pPr>
            <w:r>
              <w:t xml:space="preserve">74%</w:t>
            </w:r>
          </w:p>
        </w:tc>
        <w:tc>
          <w:tcPr/>
          <w:p>
            <w:pPr>
              <w:pStyle w:val="Compact"/>
            </w:pPr>
            <w:r>
              <w:t xml:space="preserve">4.5%</w:t>
            </w:r>
          </w:p>
        </w:tc>
        <w:tc>
          <w:tcPr/>
          <w:p>
            <w:pPr>
              <w:pStyle w:val="Compact"/>
            </w:pPr>
            <w:r>
              <w:t xml:space="preserve">$128M</w:t>
            </w:r>
          </w:p>
        </w:tc>
        <w:tc>
          <w:tcPr/>
          <w:p>
            <w:pPr>
              <w:pStyle w:val="Compact"/>
            </w:pPr>
            <w:r>
              <w:t xml:space="preserve">$0.51</w:t>
            </w:r>
          </w:p>
        </w:tc>
        <w:tc>
          <w:tcPr/>
          <w:p>
            <w:pPr>
              <w:pStyle w:val="Compact"/>
            </w:pPr>
            <w:r>
              <w:t xml:space="preserve">$300M</w:t>
            </w:r>
          </w:p>
        </w:tc>
        <w:tc>
          <w:tcPr/>
          <w:p>
            <w:pPr>
              <w:pStyle w:val="Compact"/>
            </w:pPr>
            <w:r>
              <w:t xml:space="preserve">$243M</w:t>
            </w:r>
          </w:p>
        </w:tc>
        <w:tc>
          <w:tcPr/>
          <w:p>
            <w:pPr>
              <w:pStyle w:val="Compact"/>
            </w:pPr>
            <w:r>
              <w:t xml:space="preserve">$57M</w:t>
            </w:r>
          </w:p>
        </w:tc>
        <w:tc>
          <w:tcPr/>
          <w:p>
            <w:pPr>
              <w:pStyle w:val="Compact"/>
            </w:pPr>
            <w:r>
              <w:t xml:space="preserve">258M</w:t>
            </w:r>
          </w:p>
        </w:tc>
      </w:tr>
      <w:tr>
        <w:tc>
          <w:tcPr/>
          <w:p>
            <w:pPr>
              <w:pStyle w:val="Compact"/>
            </w:pPr>
            <w:r>
              <w:t xml:space="preserve">2024</w:t>
            </w:r>
          </w:p>
        </w:tc>
        <w:tc>
          <w:tcPr/>
          <w:p>
            <w:pPr>
              <w:pStyle w:val="Compact"/>
            </w:pPr>
            <w:r>
              <w:t xml:space="preserve">$1,477M</w:t>
            </w:r>
          </w:p>
        </w:tc>
        <w:tc>
          <w:tcPr/>
          <w:p>
            <w:pPr>
              <w:pStyle w:val="Compact"/>
            </w:pPr>
            <w:r>
              <w:t xml:space="preserve">+69%</w:t>
            </w:r>
          </w:p>
        </w:tc>
        <w:tc>
          <w:tcPr/>
          <w:p>
            <w:pPr>
              <w:pStyle w:val="Compact"/>
            </w:pPr>
            <w:r>
              <w:t xml:space="preserve">80%</w:t>
            </w:r>
          </w:p>
        </w:tc>
        <w:tc>
          <w:tcPr/>
          <w:p>
            <w:pPr>
              <w:pStyle w:val="Compact"/>
            </w:pPr>
            <w:r>
              <w:t xml:space="preserve">4.2%</w:t>
            </w:r>
          </w:p>
        </w:tc>
        <w:tc>
          <w:tcPr/>
          <w:p>
            <w:pPr>
              <w:pStyle w:val="Compact"/>
            </w:pPr>
            <w:r>
              <w:t xml:space="preserve">$126M**</w:t>
            </w:r>
          </w:p>
        </w:tc>
        <w:tc>
          <w:tcPr/>
          <w:p>
            <w:pPr>
              <w:pStyle w:val="Compact"/>
            </w:pPr>
            <w:r>
              <w:t xml:space="preserve">$0.53</w:t>
            </w:r>
          </w:p>
        </w:tc>
        <w:tc>
          <w:tcPr/>
          <w:p>
            <w:pPr>
              <w:pStyle w:val="Compact"/>
            </w:pPr>
            <w:r>
              <w:t xml:space="preserve">$251M</w:t>
            </w:r>
          </w:p>
        </w:tc>
        <w:tc>
          <w:tcPr/>
          <w:p>
            <w:pPr>
              <w:pStyle w:val="Compact"/>
            </w:pPr>
            <w:r>
              <w:t xml:space="preserve">$53M</w:t>
            </w:r>
          </w:p>
        </w:tc>
        <w:tc>
          <w:tcPr/>
          <w:p>
            <w:pPr>
              <w:pStyle w:val="Compact"/>
            </w:pPr>
            <w:r>
              <w:t xml:space="preserve">$198M</w:t>
            </w:r>
          </w:p>
        </w:tc>
        <w:tc>
          <w:tcPr/>
          <w:p>
            <w:pPr>
              <w:pStyle w:val="Compact"/>
            </w:pPr>
            <w:r>
              <w:t xml:space="preserve">237M</w:t>
            </w:r>
          </w:p>
        </w:tc>
      </w:tr>
      <w:tr>
        <w:tc>
          <w:tcPr/>
          <w:p>
            <w:pPr>
              <w:pStyle w:val="Compact"/>
            </w:pPr>
            <w:r>
              <w:t xml:space="preserve">2023</w:t>
            </w:r>
          </w:p>
        </w:tc>
        <w:tc>
          <w:tcPr/>
          <w:p>
            <w:pPr>
              <w:pStyle w:val="Compact"/>
            </w:pPr>
            <w:r>
              <w:t xml:space="preserve">$872M</w:t>
            </w:r>
          </w:p>
        </w:tc>
        <w:tc>
          <w:tcPr/>
          <w:p>
            <w:pPr>
              <w:pStyle w:val="Compact"/>
            </w:pPr>
            <w:r>
              <w:t xml:space="preserve">+66%</w:t>
            </w:r>
          </w:p>
        </w:tc>
        <w:tc>
          <w:tcPr/>
          <w:p>
            <w:pPr>
              <w:pStyle w:val="Compact"/>
            </w:pPr>
            <w:r>
              <w:t xml:space="preserve">82%</w:t>
            </w:r>
          </w:p>
        </w:tc>
        <w:tc>
          <w:tcPr/>
          <w:p>
            <w:pPr>
              <w:pStyle w:val="Compact"/>
            </w:pPr>
            <w:r>
              <w:t xml:space="preserve">-3.4%</w:t>
            </w:r>
          </w:p>
        </w:tc>
        <w:tc>
          <w:tcPr/>
          <w:p>
            <w:pPr>
              <w:pStyle w:val="Compact"/>
            </w:pPr>
            <w:r>
              <w:t xml:space="preserve">-$24M</w:t>
            </w:r>
          </w:p>
        </w:tc>
        <w:tc>
          <w:tcPr/>
          <w:p>
            <w:pPr>
              <w:pStyle w:val="Compact"/>
            </w:pPr>
            <w:r>
              <w:t xml:space="preserve">-$0.11</w:t>
            </w:r>
          </w:p>
        </w:tc>
        <w:tc>
          <w:tcPr/>
          <w:p>
            <w:pPr>
              <w:pStyle w:val="Compact"/>
            </w:pPr>
            <w:r>
              <w:t xml:space="preserve">$73M</w:t>
            </w:r>
          </w:p>
        </w:tc>
        <w:tc>
          <w:tcPr/>
          <w:p>
            <w:pPr>
              <w:pStyle w:val="Compact"/>
            </w:pPr>
            <w:r>
              <w:t xml:space="preserve">$27M</w:t>
            </w:r>
          </w:p>
        </w:tc>
        <w:tc>
          <w:tcPr/>
          <w:p>
            <w:pPr>
              <w:pStyle w:val="Compact"/>
            </w:pPr>
            <w:r>
              <w:t xml:space="preserve">$47M</w:t>
            </w:r>
          </w:p>
        </w:tc>
        <w:tc>
          <w:tcPr/>
          <w:p>
            <w:pPr>
              <w:pStyle w:val="Compact"/>
            </w:pPr>
            <w:r>
              <w:t xml:space="preserve">209M</w:t>
            </w:r>
          </w:p>
        </w:tc>
      </w:tr>
      <w:tr>
        <w:tc>
          <w:tcPr/>
          <w:p>
            <w:pPr>
              <w:pStyle w:val="Compact"/>
            </w:pPr>
            <w:r>
              <w:t xml:space="preserve">2022</w:t>
            </w:r>
          </w:p>
        </w:tc>
        <w:tc>
          <w:tcPr/>
          <w:p>
            <w:pPr>
              <w:pStyle w:val="Compact"/>
            </w:pPr>
            <w:r>
              <w:t xml:space="preserve">$527M</w:t>
            </w:r>
          </w:p>
        </w:tc>
        <w:tc>
          <w:tcPr/>
          <w:p>
            <w:pPr>
              <w:pStyle w:val="Compact"/>
            </w:pPr>
            <w:r>
              <w:t xml:space="preserve">+94%</w:t>
            </w:r>
          </w:p>
        </w:tc>
        <w:tc>
          <w:tcPr/>
          <w:p>
            <w:pPr>
              <w:pStyle w:val="Compact"/>
            </w:pPr>
            <w:r>
              <w:t xml:space="preserve">78%</w:t>
            </w:r>
          </w:p>
        </w:tc>
        <w:tc>
          <w:tcPr/>
          <w:p>
            <w:pPr>
              <w:pStyle w:val="Compact"/>
            </w:pPr>
            <w:r>
              <w:t xml:space="preserve">-13.0%</w:t>
            </w:r>
          </w:p>
        </w:tc>
        <w:tc>
          <w:tcPr/>
          <w:p>
            <w:pPr>
              <w:pStyle w:val="Compact"/>
            </w:pPr>
            <w:r>
              <w:t xml:space="preserve">-$66M</w:t>
            </w:r>
          </w:p>
        </w:tc>
        <w:tc>
          <w:tcPr/>
          <w:p>
            <w:pPr>
              <w:pStyle w:val="Compact"/>
            </w:pPr>
            <w:r>
              <w:t xml:space="preserve">-$0.32</w:t>
            </w:r>
          </w:p>
        </w:tc>
        <w:tc>
          <w:tcPr/>
          <w:p>
            <w:pPr>
              <w:pStyle w:val="Compact"/>
            </w:pPr>
            <w:r>
              <w:t xml:space="preserve">-$27M</w:t>
            </w:r>
          </w:p>
        </w:tc>
        <w:tc>
          <w:tcPr/>
          <w:p>
            <w:pPr>
              <w:pStyle w:val="Compact"/>
            </w:pPr>
            <w:r>
              <w:t xml:space="preserve">$7M</w:t>
            </w:r>
          </w:p>
        </w:tc>
        <w:tc>
          <w:tcPr/>
          <w:p>
            <w:pPr>
              <w:pStyle w:val="Compact"/>
            </w:pPr>
            <w:r>
              <w:t xml:space="preserve">-$34M</w:t>
            </w:r>
          </w:p>
        </w:tc>
        <w:tc>
          <w:tcPr/>
          <w:p>
            <w:pPr>
              <w:pStyle w:val="Compact"/>
            </w:pPr>
            <w:r>
              <w:t xml:space="preserve">205M</w:t>
            </w:r>
          </w:p>
        </w:tc>
      </w:tr>
      <w:tr>
        <w:tc>
          <w:tcPr/>
          <w:p>
            <w:pPr>
              <w:pStyle w:val="Compact"/>
            </w:pPr>
            <w:r>
              <w:t xml:space="preserve">2021</w:t>
            </w:r>
          </w:p>
        </w:tc>
        <w:tc>
          <w:tcPr/>
          <w:p>
            <w:pPr>
              <w:pStyle w:val="Compact"/>
            </w:pPr>
            <w:r>
              <w:t xml:space="preserve">$272M</w:t>
            </w:r>
          </w:p>
        </w:tc>
        <w:tc>
          <w:tcPr/>
          <w:p>
            <w:pPr>
              <w:pStyle w:val="Compact"/>
            </w:pPr>
            <w:r>
              <w:t xml:space="preserve">+83%</w:t>
            </w:r>
          </w:p>
        </w:tc>
        <w:tc>
          <w:tcPr/>
          <w:p>
            <w:pPr>
              <w:pStyle w:val="Compact"/>
            </w:pPr>
            <w:r>
              <w:t xml:space="preserve">75%</w:t>
            </w:r>
          </w:p>
        </w:tc>
        <w:tc>
          <w:tcPr/>
          <w:p>
            <w:pPr>
              <w:pStyle w:val="Compact"/>
            </w:pPr>
            <w:r>
              <w:t xml:space="preserve">-42.3%</w:t>
            </w:r>
          </w:p>
        </w:tc>
        <w:tc>
          <w:tcPr/>
          <w:p>
            <w:pPr>
              <w:pStyle w:val="Compact"/>
            </w:pPr>
            <w:r>
              <w:t xml:space="preserve">-$108M</w:t>
            </w:r>
          </w:p>
        </w:tc>
        <w:tc>
          <w:tcPr/>
          <w:p>
            <w:pPr>
              <w:pStyle w:val="Compact"/>
            </w:pPr>
            <w:r>
              <w:t xml:space="preserve">-$0.58</w:t>
            </w:r>
          </w:p>
        </w:tc>
        <w:tc>
          <w:tcPr/>
          <w:p>
            <w:pPr>
              <w:pStyle w:val="Compact"/>
            </w:pPr>
            <w:r>
              <w:t xml:space="preserve">-$34M</w:t>
            </w:r>
          </w:p>
        </w:tc>
        <w:tc>
          <w:tcPr/>
          <w:p>
            <w:pPr>
              <w:pStyle w:val="Compact"/>
            </w:pPr>
            <w:r>
              <w:t xml:space="preserve">n/a</w:t>
            </w:r>
          </w:p>
        </w:tc>
        <w:tc>
          <w:tcPr/>
          <w:p>
            <w:pPr>
              <w:pStyle w:val="Compact"/>
            </w:pPr>
            <w:r>
              <w:t xml:space="preserve">n/a</w:t>
            </w:r>
          </w:p>
        </w:tc>
        <w:tc>
          <w:tcPr/>
          <w:p>
            <w:pPr>
              <w:pStyle w:val="Compact"/>
            </w:pPr>
            <w:r>
              <w:t xml:space="preserve">187M</w:t>
            </w:r>
          </w:p>
        </w:tc>
      </w:tr>
    </w:tbl>
    <w:p>
      <w:pPr>
        <w:pStyle w:val="BodyText"/>
      </w:pPr>
      <w:r>
        <w:t xml:space="preserve">*H1 2026 is unaudited (10-Q), compared with H1 2025. **2024 net income included a $54M tax benefit</w:t>
      </w:r>
      <w:r>
        <w:t xml:space="preserve"> </w:t>
      </w:r>
      <w:r>
        <w:t xml:space="preserve">from releasing a valuation allowance. Hims became public through a SPAC merger in 2021, so earlier</w:t>
      </w:r>
      <w:r>
        <w:t xml:space="preserve"> </w:t>
      </w:r>
      <w:r>
        <w:t xml:space="preserve">years aren’t comparable.*</w:t>
      </w:r>
    </w:p>
    <w:p>
      <w:pPr>
        <w:pStyle w:val="BodyText"/>
      </w:pPr>
      <w:r>
        <w:rPr>
          <w:b/>
          <w:bCs/>
        </w:rPr>
        <w:t xml:space="preserve">What the record shows:</w:t>
      </w:r>
    </w:p>
    <w:p>
      <w:pPr>
        <w:pStyle w:val="Compact"/>
        <w:numPr>
          <w:ilvl w:val="0"/>
          <w:numId w:val="1016"/>
        </w:numPr>
      </w:pPr>
      <w:r>
        <w:rPr>
          <w:b/>
          <w:bCs/>
        </w:rPr>
        <w:t xml:space="preserve">Growth:</w:t>
      </w:r>
      <w:r>
        <w:t xml:space="preserve"> </w:t>
      </w:r>
      <w:r>
        <w:t xml:space="preserve">remarkable, but slowing organically. US revenue grew 3% in H1 2026. Headline growth</w:t>
      </w:r>
      <w:r>
        <w:t xml:space="preserve"> </w:t>
      </w:r>
      <w:r>
        <w:t xml:space="preserve">now relies on acquisitions and on moving to branded drugs, which have higher prices and lower</w:t>
      </w:r>
      <w:r>
        <w:t xml:space="preserve"> </w:t>
      </w:r>
      <w:r>
        <w:t xml:space="preserve">margins.</w:t>
      </w:r>
    </w:p>
    <w:p>
      <w:pPr>
        <w:pStyle w:val="Compact"/>
        <w:numPr>
          <w:ilvl w:val="0"/>
          <w:numId w:val="1016"/>
        </w:numPr>
      </w:pPr>
      <w:r>
        <w:rPr>
          <w:b/>
          <w:bCs/>
        </w:rPr>
        <w:t xml:space="preserve">Profitability:</w:t>
      </w:r>
      <w:r>
        <w:t xml:space="preserve"> </w:t>
      </w:r>
      <w:r>
        <w:t xml:space="preserve">thin even in its best years. The peak operating margin was 4.5% (2025).</w:t>
      </w:r>
      <w:r>
        <w:t xml:space="preserve"> </w:t>
      </w:r>
      <w:r>
        <w:t xml:space="preserve">Marketing takes about 35–40% of revenue.</w:t>
      </w:r>
    </w:p>
    <w:p>
      <w:pPr>
        <w:pStyle w:val="Compact"/>
        <w:numPr>
          <w:ilvl w:val="0"/>
          <w:numId w:val="1016"/>
        </w:numPr>
      </w:pPr>
      <w:r>
        <w:rPr>
          <w:b/>
          <w:bCs/>
        </w:rPr>
        <w:t xml:space="preserve">Stock-based pay is large:</w:t>
      </w:r>
      <w:r>
        <w:t xml:space="preserve"> </w:t>
      </w:r>
      <w:r>
        <w:t xml:space="preserve">$135M in 2025, more than twice that year’s free cash flow. In 2026</w:t>
      </w:r>
      <w:r>
        <w:t xml:space="preserve"> </w:t>
      </w:r>
      <w:r>
        <w:t xml:space="preserve">it runs at about $160M a year.</w:t>
      </w:r>
    </w:p>
    <w:p>
      <w:pPr>
        <w:pStyle w:val="Compact"/>
        <w:numPr>
          <w:ilvl w:val="0"/>
          <w:numId w:val="1016"/>
        </w:numPr>
      </w:pPr>
      <w:r>
        <w:rPr>
          <w:b/>
          <w:bCs/>
        </w:rPr>
        <w:t xml:space="preserve">Dilution:</w:t>
      </w:r>
      <w:r>
        <w:t xml:space="preserve"> </w:t>
      </w:r>
      <w:r>
        <w:t xml:space="preserve">diluted shares rose from 205M (2022) to 258M (2025), about 26%. The 2032</w:t>
      </w:r>
      <w:r>
        <w:t xml:space="preserve"> </w:t>
      </w:r>
      <w:r>
        <w:t xml:space="preserve">convertible notes could add about 13.6M more shares (about 6%) if converted. The 2030 notes</w:t>
      </w:r>
      <w:r>
        <w:t xml:space="preserve"> </w:t>
      </w:r>
      <w:r>
        <w:t xml:space="preserve">convert at $70.67, far above today’s price, so they would more likely be repaid in cash</w:t>
      </w:r>
      <w:r>
        <w:t xml:space="preserve"> </w:t>
      </w:r>
      <w:r>
        <w:t xml:space="preserve">($1.0B, due 2030).</w:t>
      </w:r>
    </w:p>
    <w:p>
      <w:pPr>
        <w:pStyle w:val="Compact"/>
        <w:numPr>
          <w:ilvl w:val="0"/>
          <w:numId w:val="1016"/>
        </w:numPr>
      </w:pPr>
      <w:r>
        <w:rPr>
          <w:b/>
          <w:bCs/>
        </w:rPr>
        <w:t xml:space="preserve">Cash:</w:t>
      </w:r>
      <w:r>
        <w:t xml:space="preserve"> </w:t>
      </w:r>
      <w:r>
        <w:t xml:space="preserve">2025 capital spending rose to $243M (pharmacy, peptide and lab facilities), and free</w:t>
      </w:r>
      <w:r>
        <w:t xml:space="preserve"> </w:t>
      </w:r>
      <w:r>
        <w:t xml:space="preserve">cash flow fell to $57M.</w:t>
      </w:r>
    </w:p>
    <w:p>
      <w:pPr>
        <w:pStyle w:val="Compact"/>
        <w:numPr>
          <w:ilvl w:val="1"/>
          <w:numId w:val="1017"/>
        </w:numPr>
      </w:pPr>
      <w:r>
        <w:t xml:space="preserve">The H1 2026 operating cash flow of $53M depended on timing: accounts payable rose $324M while</w:t>
      </w:r>
      <w:r>
        <w:t xml:space="preserve"> </w:t>
      </w:r>
      <w:r>
        <w:t xml:space="preserve">receivables rose $329M.</w:t>
      </w:r>
    </w:p>
    <w:p>
      <w:pPr>
        <w:pStyle w:val="Compact"/>
        <w:numPr>
          <w:ilvl w:val="1"/>
          <w:numId w:val="1017"/>
        </w:numPr>
      </w:pPr>
      <w:r>
        <w:t xml:space="preserve">Q2 free cash flow was -$68M.</w:t>
      </w:r>
    </w:p>
    <w:p>
      <w:pPr>
        <w:pStyle w:val="FirstParagraph"/>
      </w:pPr>
      <w:r>
        <w:rPr>
          <w:b/>
          <w:bCs/>
        </w:rPr>
        <w:t xml:space="preserve">“Adjusted EBITDA”</w:t>
      </w:r>
      <w:r>
        <w:rPr>
          <w:b/>
          <w:bCs/>
        </w:rPr>
        <w:t xml:space="preserve"> </w:t>
      </w:r>
      <w:r>
        <w:rPr>
          <w:b/>
          <w:bCs/>
        </w:rPr>
        <w:t xml:space="preserve">needs care here.</w:t>
      </w:r>
      <w:r>
        <w:t xml:space="preserve"> </w:t>
      </w:r>
      <w:r>
        <w:t xml:space="preserve">The company’s H1 2026 adjusted EBITDA of $105M adds back:</w:t>
      </w:r>
    </w:p>
    <w:p>
      <w:pPr>
        <w:pStyle w:val="Compact"/>
        <w:numPr>
          <w:ilvl w:val="0"/>
          <w:numId w:val="1018"/>
        </w:numPr>
      </w:pPr>
      <w:r>
        <w:t xml:space="preserve">Stock pay ($79M) and depreciation ($51M).</w:t>
      </w:r>
    </w:p>
    <w:p>
      <w:pPr>
        <w:pStyle w:val="Compact"/>
        <w:numPr>
          <w:ilvl w:val="0"/>
          <w:numId w:val="1018"/>
        </w:numPr>
      </w:pPr>
      <w:r>
        <w:t xml:space="preserve">$62.5M of legal accruals, $42M of deal costs, $38M of restructuring and $22M of fair-value</w:t>
      </w:r>
      <w:r>
        <w:t xml:space="preserve"> </w:t>
      </w:r>
      <w:r>
        <w:t xml:space="preserve">changes.</w:t>
      </w:r>
    </w:p>
    <w:p>
      <w:pPr>
        <w:pStyle w:val="FirstParagraph"/>
      </w:pPr>
      <w:r>
        <w:t xml:space="preserve">The GAAP pre-tax loss was $194M. Management’s 2030 target of $1.3B is on this adjusted basis.</w:t>
      </w:r>
    </w:p>
    <w:bookmarkEnd w:id="13"/>
    <w:bookmarkStart w:id="14" w:name="X3cb14b6415768e27d6997c7b46c3f442feba5d8"/>
    <w:p>
      <w:pPr>
        <w:pStyle w:val="Heading1"/>
      </w:pPr>
      <w:r>
        <w:t xml:space="preserve">Balance sheet and obligations (30 June 2026)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Amount</w:t>
            </w:r>
          </w:p>
        </w:tc>
      </w:tr>
      <w:tr>
        <w:tc>
          <w:tcPr/>
          <w:p>
            <w:pPr>
              <w:pStyle w:val="Compact"/>
            </w:pPr>
            <w:r>
              <w:t xml:space="preserve">Cash + short-term investments</w:t>
            </w:r>
          </w:p>
        </w:tc>
        <w:tc>
          <w:tcPr/>
          <w:p>
            <w:pPr>
              <w:pStyle w:val="Compact"/>
            </w:pPr>
            <w:r>
              <w:t xml:space="preserve">$841M (long-term investments of $351M at end-2025 were sold)</w:t>
            </w:r>
          </w:p>
        </w:tc>
      </w:tr>
      <w:tr>
        <w:tc>
          <w:tcPr/>
          <w:p>
            <w:pPr>
              <w:pStyle w:val="Compact"/>
            </w:pPr>
            <w:r>
              <w:t xml:space="preserve">Convertible notes, 0% coupon</w:t>
            </w:r>
          </w:p>
        </w:tc>
        <w:tc>
          <w:tcPr/>
          <w:p>
            <w:pPr>
              <w:pStyle w:val="Compact"/>
            </w:pPr>
            <w:r>
              <w:t xml:space="preserve">$1,000M due May 2030 (convert at $70.67); $402.5M due June 2032 (convert at ~$29.53)</w:t>
            </w:r>
          </w:p>
        </w:tc>
      </w:tr>
      <w:tr>
        <w:tc>
          <w:tcPr/>
          <w:p>
            <w:pPr>
              <w:pStyle w:val="Compact"/>
            </w:pPr>
            <w:r>
              <w:t xml:space="preserve">Deferred acquisition payments</w:t>
            </w:r>
          </w:p>
        </w:tc>
        <w:tc>
          <w:tcPr/>
          <w:p>
            <w:pPr>
              <w:pStyle w:val="Compact"/>
            </w:pPr>
            <w:r>
              <w:t xml:space="preserve">$703M ($537M due within 12 months, mainly Eucalyptus, in quarterly instalments)</w:t>
            </w:r>
          </w:p>
        </w:tc>
      </w:tr>
      <w:tr>
        <w:tc>
          <w:tcPr/>
          <w:p>
            <w:pPr>
              <w:pStyle w:val="Compact"/>
            </w:pPr>
            <w:r>
              <w:t xml:space="preserve">Earn-outs (fair value)</w:t>
            </w:r>
          </w:p>
        </w:tc>
        <w:tc>
          <w:tcPr/>
          <w:p>
            <w:pPr>
              <w:pStyle w:val="Compact"/>
            </w:pPr>
            <w:r>
              <w:t xml:space="preserve">$163M ($81M within 12 months)</w:t>
            </w:r>
          </w:p>
        </w:tc>
      </w:tr>
      <w:tr>
        <w:tc>
          <w:tcPr/>
          <w:p>
            <w:pPr>
              <w:pStyle w:val="Compact"/>
            </w:pPr>
            <w:r>
              <w:t xml:space="preserve">Credit facilities</w:t>
            </w:r>
          </w:p>
        </w:tc>
        <w:tc>
          <w:tcPr/>
          <w:p>
            <w:pPr>
              <w:pStyle w:val="Compact"/>
            </w:pPr>
            <w:r>
              <w:t xml:space="preserve">Revolving credit (amended May 2026); $400M receivables-sale facility (July 2026)</w:t>
            </w:r>
          </w:p>
        </w:tc>
      </w:tr>
      <w:tr>
        <w:tc>
          <w:tcPr/>
          <w:p>
            <w:pPr>
              <w:pStyle w:val="Compact"/>
            </w:pPr>
            <w:r>
              <w:t xml:space="preserve">Total liabilities / equity</w:t>
            </w:r>
          </w:p>
        </w:tc>
        <w:tc>
          <w:tcPr/>
          <w:p>
            <w:pPr>
              <w:pStyle w:val="Compact"/>
            </w:pPr>
            <w:r>
              <w:t xml:space="preserve">$3,305M / $324M</w:t>
            </w:r>
          </w:p>
        </w:tc>
      </w:tr>
      <w:tr>
        <w:tc>
          <w:tcPr/>
          <w:p>
            <w:pPr>
              <w:pStyle w:val="Compact"/>
            </w:pPr>
            <w:r>
              <w:t xml:space="preserve">Goodwill + intangibles</w:t>
            </w:r>
          </w:p>
        </w:tc>
        <w:tc>
          <w:tcPr/>
          <w:p>
            <w:pPr>
              <w:pStyle w:val="Compact"/>
            </w:pPr>
            <w:r>
              <w:t xml:space="preserve">$1,525M (so tangible equity is about -$1.2B)</w:t>
            </w:r>
          </w:p>
        </w:tc>
      </w:tr>
      <w:tr>
        <w:tc>
          <w:tcPr/>
          <w:p>
            <w:pPr>
              <w:pStyle w:val="Compact"/>
            </w:pPr>
            <w:r>
              <w:t xml:space="preserve">Current ratio</w:t>
            </w:r>
          </w:p>
        </w:tc>
        <w:tc>
          <w:tcPr/>
          <w:p>
            <w:pPr>
              <w:pStyle w:val="Compact"/>
            </w:pPr>
            <w:r>
              <w:t xml:space="preserve">0.93 (current liabilities exceed current assets)</w:t>
            </w:r>
          </w:p>
        </w:tc>
      </w:tr>
    </w:tbl>
    <w:p>
      <w:pPr>
        <w:pStyle w:val="BodyText"/>
      </w:pPr>
      <w:r>
        <w:rPr>
          <w:b/>
          <w:bCs/>
        </w:rPr>
        <w:t xml:space="preserve">In plain terms:</w:t>
      </w:r>
      <w:r>
        <w:t xml:space="preserve"> </w:t>
      </w:r>
      <w:r>
        <w:t xml:space="preserve">about $620M of acquisition payments are due in the next 12 months. That’s</w:t>
      </w:r>
      <w:r>
        <w:t xml:space="preserve"> </w:t>
      </w:r>
      <w:r>
        <w:t xml:space="preserve">against $841M of cash and investments, at a time when the business is roughly breaking even on</w:t>
      </w:r>
      <w:r>
        <w:t xml:space="preserve"> </w:t>
      </w:r>
      <w:r>
        <w:t xml:space="preserve">cash. The company has credit lines. But if cash generation doesn’t improve, more borrowing or more</w:t>
      </w:r>
      <w:r>
        <w:t xml:space="preserve"> </w:t>
      </w:r>
      <w:r>
        <w:t xml:space="preserve">share issuance is plausible.</w:t>
      </w:r>
    </w:p>
    <w:bookmarkEnd w:id="14"/>
    <w:bookmarkStart w:id="15" w:name="valuation-in-context"/>
    <w:p>
      <w:pPr>
        <w:pStyle w:val="Heading1"/>
      </w:pPr>
      <w:r>
        <w:t xml:space="preserve">Valuation in context</w:t>
      </w:r>
    </w:p>
    <w:p>
      <w:pPr>
        <w:pStyle w:val="FirstParagraph"/>
      </w:pPr>
      <w:r>
        <w:rPr>
          <w:i/>
          <w:iCs/>
        </w:rPr>
        <w:t xml:space="preserve">Price data from Google Search (29 Sept 2026), unverified. Share count from the 10-Q.</w:t>
      </w:r>
    </w:p>
    <w:p>
      <w:pPr>
        <w:pStyle w:val="Compact"/>
        <w:numPr>
          <w:ilvl w:val="0"/>
          <w:numId w:val="1019"/>
        </w:numPr>
      </w:pPr>
      <w:r>
        <w:rPr>
          <w:b/>
          <w:bCs/>
        </w:rPr>
        <w:t xml:space="preserve">Price:</w:t>
      </w:r>
      <w:r>
        <w:t xml:space="preserve"> </w:t>
      </w:r>
      <w:r>
        <w:t xml:space="preserve">~$28.80 × 233.3M shares ≈</w:t>
      </w:r>
      <w:r>
        <w:t xml:space="preserve"> </w:t>
      </w:r>
      <w:r>
        <w:rPr>
          <w:b/>
          <w:bCs/>
        </w:rPr>
        <w:t xml:space="preserve">$6.7B market value</w:t>
      </w:r>
      <w:r>
        <w:t xml:space="preserve">.</w:t>
      </w:r>
    </w:p>
    <w:p>
      <w:pPr>
        <w:pStyle w:val="Compact"/>
        <w:numPr>
          <w:ilvl w:val="0"/>
          <w:numId w:val="1019"/>
        </w:numPr>
      </w:pPr>
      <w:r>
        <w:rPr>
          <w:b/>
          <w:bCs/>
        </w:rPr>
        <w:t xml:space="preserve">Enterprise value:</w:t>
      </w:r>
      <w:r>
        <w:t xml:space="preserve"> </w:t>
      </w:r>
      <w:r>
        <w:t xml:space="preserve">adding net obligations (notes + acquisition payments − cash ≈ $1.43B)</w:t>
      </w:r>
      <w:r>
        <w:t xml:space="preserve"> </w:t>
      </w:r>
      <w:r>
        <w:t xml:space="preserve">gives about</w:t>
      </w:r>
      <w:r>
        <w:t xml:space="preserve"> </w:t>
      </w:r>
      <w:r>
        <w:rPr>
          <w:b/>
          <w:bCs/>
        </w:rPr>
        <w:t xml:space="preserve">$8.2B</w:t>
      </w:r>
      <w:r>
        <w:t xml:space="preserve">.</w:t>
      </w:r>
    </w:p>
    <w:p>
      <w:pPr>
        <w:pStyle w:val="Compact"/>
        <w:numPr>
          <w:ilvl w:val="0"/>
          <w:numId w:val="1019"/>
        </w:numPr>
      </w:pPr>
      <w:r>
        <w:rPr>
          <w:b/>
          <w:bCs/>
        </w:rPr>
        <w:t xml:space="preserve">Multiples:</w:t>
      </w:r>
      <w:r>
        <w:t xml:space="preserve"> </w:t>
      </w:r>
      <w:r>
        <w:t xml:space="preserve">about</w:t>
      </w:r>
      <w:r>
        <w:t xml:space="preserve"> </w:t>
      </w:r>
      <w:r>
        <w:rPr>
          <w:b/>
          <w:bCs/>
        </w:rPr>
        <w:t xml:space="preserve">2.1× 2026 guided sales</w:t>
      </w:r>
      <w:r>
        <w:t xml:space="preserve"> </w:t>
      </w:r>
      <w:r>
        <w:t xml:space="preserve">(2.5× on enterprise value). There are no</w:t>
      </w:r>
      <w:r>
        <w:t xml:space="preserve"> </w:t>
      </w:r>
      <w:r>
        <w:t xml:space="preserve">meaningful earnings multiples. Trailing EPS is about -$0.63 by my calculation from the filings,</w:t>
      </w:r>
      <w:r>
        <w:t xml:space="preserve"> </w:t>
      </w:r>
      <w:r>
        <w:t xml:space="preserve">and consensus FY2027 EPS is $0.44 (search), about 65×.</w:t>
      </w:r>
    </w:p>
    <w:p>
      <w:pPr>
        <w:pStyle w:val="Compact"/>
        <w:numPr>
          <w:ilvl w:val="0"/>
          <w:numId w:val="1019"/>
        </w:numPr>
      </w:pPr>
      <w:r>
        <w:rPr>
          <w:b/>
          <w:bCs/>
        </w:rPr>
        <w:t xml:space="preserve">Versus its own recent history:</w:t>
      </w:r>
      <w:r>
        <w:t xml:space="preserve"> </w:t>
      </w:r>
      <w:r>
        <w:t xml:space="preserve">far below 2025, when the stock traded as high as about $65</w:t>
      </w:r>
      <w:r>
        <w:t xml:space="preserve"> </w:t>
      </w:r>
      <w:r>
        <w:t xml:space="preserve">(search).</w:t>
      </w:r>
    </w:p>
    <w:p>
      <w:pPr>
        <w:pStyle w:val="FirstParagraph"/>
      </w:pPr>
      <w:r>
        <w:rPr>
          <w:b/>
          <w:bCs/>
        </w:rPr>
        <w:t xml:space="preserve">What today’s price implies</w:t>
      </w:r>
      <w:r>
        <w:t xml:space="preserve"> </w:t>
      </w:r>
      <w:r>
        <w:t xml:space="preserve">is a scenario exercise, not a forecast. Take the equity value in</w:t>
      </w:r>
      <w:r>
        <w:t xml:space="preserve"> </w:t>
      </w:r>
      <w:r>
        <w:t xml:space="preserve">2030 at 20× earnings and compare it with about $6.7B today. The table shows the rough annualized</w:t>
      </w:r>
      <w:r>
        <w:t xml:space="preserve"> </w:t>
      </w:r>
      <w:r>
        <w:t xml:space="preserve">result over about 4¼ years. It ignores further dilution, which would make each line worse.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2030 revenue</w:t>
            </w:r>
          </w:p>
        </w:tc>
        <w:tc>
          <w:tcPr/>
          <w:p>
            <w:pPr>
              <w:pStyle w:val="Compact"/>
            </w:pPr>
            <w:r>
              <w:t xml:space="preserve">Net margin 5% (≈ its best year so far)</w:t>
            </w:r>
          </w:p>
        </w:tc>
        <w:tc>
          <w:tcPr/>
          <w:p>
            <w:pPr>
              <w:pStyle w:val="Compact"/>
            </w:pPr>
            <w:r>
              <w:t xml:space="preserve">Net margin 10% (never achieved)</w:t>
            </w:r>
          </w:p>
        </w:tc>
      </w:tr>
      <w:tr>
        <w:tc>
          <w:tcPr/>
          <w:p>
            <w:pPr>
              <w:pStyle w:val="Compact"/>
            </w:pPr>
            <w:r>
              <w:t xml:space="preserve">$4.0B</w:t>
            </w:r>
          </w:p>
        </w:tc>
        <w:tc>
          <w:tcPr/>
          <w:p>
            <w:pPr>
              <w:pStyle w:val="Compact"/>
            </w:pPr>
            <w:r>
              <w:t xml:space="preserve">$4.0B (−11%/yr)</w:t>
            </w:r>
          </w:p>
        </w:tc>
        <w:tc>
          <w:tcPr/>
          <w:p>
            <w:pPr>
              <w:pStyle w:val="Compact"/>
            </w:pPr>
            <w:r>
              <w:t xml:space="preserve">$8.0B (+4%/yr)</w:t>
            </w:r>
          </w:p>
        </w:tc>
      </w:tr>
      <w:tr>
        <w:tc>
          <w:tcPr/>
          <w:p>
            <w:pPr>
              <w:pStyle w:val="Compact"/>
            </w:pPr>
            <w:r>
              <w:t xml:space="preserve">$5.0B</w:t>
            </w:r>
          </w:p>
        </w:tc>
        <w:tc>
          <w:tcPr/>
          <w:p>
            <w:pPr>
              <w:pStyle w:val="Compact"/>
            </w:pPr>
            <w:r>
              <w:t xml:space="preserve">$5.0B (−7%/yr)</w:t>
            </w:r>
          </w:p>
        </w:tc>
        <w:tc>
          <w:tcPr/>
          <w:p>
            <w:pPr>
              <w:pStyle w:val="Compact"/>
            </w:pPr>
            <w:r>
              <w:t xml:space="preserve">$10.0B (+10%/yr)</w:t>
            </w:r>
          </w:p>
        </w:tc>
      </w:tr>
      <w:tr>
        <w:tc>
          <w:tcPr/>
          <w:p>
            <w:pPr>
              <w:pStyle w:val="Compact"/>
            </w:pPr>
            <w:r>
              <w:t xml:space="preserve">$6.5B (management target)</w:t>
            </w:r>
          </w:p>
        </w:tc>
        <w:tc>
          <w:tcPr/>
          <w:p>
            <w:pPr>
              <w:pStyle w:val="Compact"/>
            </w:pPr>
            <w:r>
              <w:t xml:space="preserve">$6.5B (−1%/yr)</w:t>
            </w:r>
          </w:p>
        </w:tc>
        <w:tc>
          <w:tcPr/>
          <w:p>
            <w:pPr>
              <w:pStyle w:val="Compact"/>
            </w:pPr>
            <w:r>
              <w:t xml:space="preserve">$13.0B (+17%/yr)</w:t>
            </w:r>
          </w:p>
        </w:tc>
      </w:tr>
    </w:tbl>
    <w:p>
      <w:pPr>
        <w:pStyle w:val="BodyText"/>
      </w:pPr>
      <w:r>
        <w:rPr>
          <w:b/>
          <w:bCs/>
        </w:rPr>
        <w:t xml:space="preserve">How to read the table:</w:t>
      </w:r>
      <w:r>
        <w:t xml:space="preserve"> </w:t>
      </w:r>
      <w:r>
        <w:t xml:space="preserve">a good long-term result from today’s price needs</w:t>
      </w:r>
      <w:r>
        <w:t xml:space="preserve"> </w:t>
      </w:r>
      <w:r>
        <w:rPr>
          <w:b/>
          <w:bCs/>
        </w:rPr>
        <w:t xml:space="preserve">both</w:t>
      </w:r>
      <w:r>
        <w:t xml:space="preserve"> </w:t>
      </w:r>
      <w:r>
        <w:t xml:space="preserve">strong growth</w:t>
      </w:r>
      <w:r>
        <w:t xml:space="preserve"> </w:t>
      </w:r>
      <w:r>
        <w:rPr>
          <w:b/>
          <w:bCs/>
        </w:rPr>
        <w:t xml:space="preserve">and</w:t>
      </w:r>
      <w:r>
        <w:t xml:space="preserve"> </w:t>
      </w:r>
      <w:r>
        <w:t xml:space="preserve">profit margins roughly double anything Hims has achieved so far. And it has to happen while</w:t>
      </w:r>
      <w:r>
        <w:t xml:space="preserve"> </w:t>
      </w:r>
      <w:r>
        <w:t xml:space="preserve">it moves toward lower-margin branded drugs and resolves several legal cases. Management’s 2030</w:t>
      </w:r>
      <w:r>
        <w:t xml:space="preserve"> </w:t>
      </w:r>
      <w:r>
        <w:t xml:space="preserve">target implies a 20% adjusted EBITDA margin; its best so far is about 15–16% (H1 2025, per the Q2</w:t>
      </w:r>
      <w:r>
        <w:t xml:space="preserve"> </w:t>
      </w:r>
      <w:r>
        <w:t xml:space="preserve">2026 release).</w:t>
      </w:r>
    </w:p>
    <w:bookmarkEnd w:id="15"/>
    <w:bookmarkStart w:id="16" w:name="bull-case-and-bear-case"/>
    <w:p>
      <w:pPr>
        <w:pStyle w:val="Heading1"/>
      </w:pPr>
      <w:r>
        <w:t xml:space="preserve">Bull case and bear case</w:t>
      </w:r>
    </w:p>
    <w:p>
      <w:pPr>
        <w:pStyle w:val="FirstParagraph"/>
      </w:pPr>
      <w:r>
        <w:rPr>
          <w:b/>
          <w:bCs/>
        </w:rPr>
        <w:t xml:space="preserve">Bull case</w:t>
      </w:r>
    </w:p>
    <w:p>
      <w:pPr>
        <w:pStyle w:val="Compact"/>
        <w:numPr>
          <w:ilvl w:val="0"/>
          <w:numId w:val="1020"/>
        </w:numPr>
      </w:pPr>
      <w:r>
        <w:rPr>
          <w:b/>
          <w:bCs/>
        </w:rPr>
        <w:t xml:space="preserve">Brand and scale in consumer telehealth.</w:t>
      </w:r>
      <w:r>
        <w:t xml:space="preserve"> </w:t>
      </w:r>
      <w:r>
        <w:t xml:space="preserve">2.9M paying subscribers and revenue per subscriber</w:t>
      </w:r>
      <w:r>
        <w:t xml:space="preserve"> </w:t>
      </w:r>
      <w:r>
        <w:t xml:space="preserve">rising 21% suggest people will pay for convenience. Multi-condition subscriptions deepen</w:t>
      </w:r>
      <w:r>
        <w:t xml:space="preserve"> </w:t>
      </w:r>
      <w:r>
        <w:t xml:space="preserve">engagement.</w:t>
      </w:r>
    </w:p>
    <w:p>
      <w:pPr>
        <w:pStyle w:val="Compact"/>
        <w:numPr>
          <w:ilvl w:val="0"/>
          <w:numId w:val="1020"/>
        </w:numPr>
      </w:pPr>
      <w:r>
        <w:rPr>
          <w:b/>
          <w:bCs/>
        </w:rPr>
        <w:t xml:space="preserve">International platform.</w:t>
      </w:r>
      <w:r>
        <w:t xml:space="preserve"> </w:t>
      </w:r>
      <w:r>
        <w:t xml:space="preserve">The acquisitions give it immediate scale in Australia, the UK,</w:t>
      </w:r>
      <w:r>
        <w:t xml:space="preserve"> </w:t>
      </w:r>
      <w:r>
        <w:t xml:space="preserve">Germany, Canada and Japan, where regulation of branded GLP-1 access may be more predictable.</w:t>
      </w:r>
    </w:p>
    <w:p>
      <w:pPr>
        <w:pStyle w:val="Compact"/>
        <w:numPr>
          <w:ilvl w:val="0"/>
          <w:numId w:val="1020"/>
        </w:numPr>
      </w:pPr>
      <w:r>
        <w:rPr>
          <w:b/>
          <w:bCs/>
        </w:rPr>
        <w:t xml:space="preserve">Vertical integration.</w:t>
      </w:r>
      <w:r>
        <w:t xml:space="preserve"> </w:t>
      </w:r>
      <w:r>
        <w:t xml:space="preserve">Owned pharmacies, peptide manufacturing and lab testing could lower</w:t>
      </w:r>
      <w:r>
        <w:t xml:space="preserve"> </w:t>
      </w:r>
      <w:r>
        <w:t xml:space="preserve">costs and support margins over time.</w:t>
      </w:r>
    </w:p>
    <w:p>
      <w:pPr>
        <w:pStyle w:val="Compact"/>
        <w:numPr>
          <w:ilvl w:val="0"/>
          <w:numId w:val="1020"/>
        </w:numPr>
      </w:pPr>
      <w:r>
        <w:rPr>
          <w:b/>
          <w:bCs/>
        </w:rPr>
        <w:t xml:space="preserve">Management guidance.</w:t>
      </w:r>
      <w:r>
        <w:t xml:space="preserve"> </w:t>
      </w:r>
      <w:r>
        <w:t xml:space="preserve">2026 revenue guidance was raised to $3.1–3.3B, and management reaffirms</w:t>
      </w:r>
      <w:r>
        <w:t xml:space="preserve"> </w:t>
      </w:r>
      <w:r>
        <w:t xml:space="preserve">the 2030 targets.</w:t>
      </w:r>
    </w:p>
    <w:p>
      <w:pPr>
        <w:pStyle w:val="Compact"/>
        <w:numPr>
          <w:ilvl w:val="0"/>
          <w:numId w:val="1020"/>
        </w:numPr>
      </w:pPr>
      <w:r>
        <w:rPr>
          <w:b/>
          <w:bCs/>
        </w:rPr>
        <w:t xml:space="preserve">A lower starting valuation than 2025.</w:t>
      </w:r>
      <w:r>
        <w:t xml:space="preserve"> </w:t>
      </w:r>
      <w:r>
        <w:t xml:space="preserve">About 2× sales versus much higher multiples a year</w:t>
      </w:r>
      <w:r>
        <w:t xml:space="preserve"> </w:t>
      </w:r>
      <w:r>
        <w:t xml:space="preserve">ago. If the legal matters resolve manageably, sentiment could improve.</w:t>
      </w:r>
    </w:p>
    <w:p>
      <w:pPr>
        <w:pStyle w:val="FirstParagraph"/>
      </w:pPr>
      <w:r>
        <w:rPr>
          <w:b/>
          <w:bCs/>
        </w:rPr>
        <w:t xml:space="preserve">Bear case</w:t>
      </w:r>
    </w:p>
    <w:p>
      <w:pPr>
        <w:pStyle w:val="Compact"/>
        <w:numPr>
          <w:ilvl w:val="0"/>
          <w:numId w:val="1021"/>
        </w:numPr>
      </w:pPr>
      <w:r>
        <w:rPr>
          <w:b/>
          <w:bCs/>
        </w:rPr>
        <w:t xml:space="preserve">Legal and regulatory risk is concentrated in its core growth area.</w:t>
      </w:r>
    </w:p>
    <w:p>
      <w:pPr>
        <w:pStyle w:val="Compact"/>
        <w:numPr>
          <w:ilvl w:val="1"/>
          <w:numId w:val="1022"/>
        </w:numPr>
      </w:pPr>
      <w:r>
        <w:t xml:space="preserve">FDA/DOJ over compounded GLP-1s.</w:t>
      </w:r>
    </w:p>
    <w:p>
      <w:pPr>
        <w:pStyle w:val="Compact"/>
        <w:numPr>
          <w:ilvl w:val="1"/>
          <w:numId w:val="1022"/>
        </w:numPr>
      </w:pPr>
      <w:r>
        <w:t xml:space="preserve">Novo Nordisk seeks damages, enhanced damages and an injunction.</w:t>
      </w:r>
    </w:p>
    <w:p>
      <w:pPr>
        <w:pStyle w:val="Compact"/>
        <w:numPr>
          <w:ilvl w:val="1"/>
          <w:numId w:val="1022"/>
        </w:numPr>
      </w:pPr>
      <w:r>
        <w:t xml:space="preserve">FTC and state co-plaintiffs over subscriptions and advertising (settlement talks failed).</w:t>
      </w:r>
    </w:p>
    <w:p>
      <w:pPr>
        <w:pStyle w:val="Compact"/>
        <w:numPr>
          <w:ilvl w:val="1"/>
          <w:numId w:val="1022"/>
        </w:numPr>
      </w:pPr>
      <w:r>
        <w:t xml:space="preserve">Securities class actions.</w:t>
      </w:r>
    </w:p>
    <w:p>
      <w:pPr>
        <w:pStyle w:val="Compact"/>
        <w:numPr>
          <w:ilvl w:val="1"/>
          <w:numId w:val="1022"/>
        </w:numPr>
      </w:pPr>
      <w:r>
        <w:t xml:space="preserve">An adverse outcome could cost money</w:t>
      </w:r>
      <w:r>
        <w:t xml:space="preserve"> </w:t>
      </w:r>
      <w:r>
        <w:rPr>
          <w:b/>
          <w:bCs/>
        </w:rPr>
        <w:t xml:space="preserve">and</w:t>
      </w:r>
      <w:r>
        <w:t xml:space="preserve"> </w:t>
      </w:r>
      <w:r>
        <w:t xml:space="preserve">restrict how it markets and bills.</w:t>
      </w:r>
    </w:p>
    <w:p>
      <w:pPr>
        <w:pStyle w:val="Compact"/>
        <w:numPr>
          <w:ilvl w:val="0"/>
          <w:numId w:val="1021"/>
        </w:numPr>
      </w:pPr>
      <w:r>
        <w:rPr>
          <w:b/>
          <w:bCs/>
        </w:rPr>
        <w:t xml:space="preserve">Its business model’s economics have deteriorated.</w:t>
      </w:r>
      <w:r>
        <w:t xml:space="preserve"> </w:t>
      </w:r>
      <w:r>
        <w:t xml:space="preserve">Gross margin is down 12 points. Organic US</w:t>
      </w:r>
      <w:r>
        <w:t xml:space="preserve"> </w:t>
      </w:r>
      <w:r>
        <w:t xml:space="preserve">growth is about 3%. Marketing is about 35% of revenue. Profits were thin even at the best point.</w:t>
      </w:r>
    </w:p>
    <w:p>
      <w:pPr>
        <w:pStyle w:val="Compact"/>
        <w:numPr>
          <w:ilvl w:val="0"/>
          <w:numId w:val="1021"/>
        </w:numPr>
      </w:pPr>
      <w:r>
        <w:rPr>
          <w:b/>
          <w:bCs/>
        </w:rPr>
        <w:t xml:space="preserve">Balance-sheet strain:</w:t>
      </w:r>
      <w:r>
        <w:t xml:space="preserve"> </w:t>
      </w:r>
      <w:r>
        <w:t xml:space="preserve">about $2.3B of notes and acquisition obligations against $0.84B of</w:t>
      </w:r>
      <w:r>
        <w:t xml:space="preserve"> </w:t>
      </w:r>
      <w:r>
        <w:t xml:space="preserve">cash, negative tangible equity and a current ratio below 1.</w:t>
      </w:r>
    </w:p>
    <w:p>
      <w:pPr>
        <w:pStyle w:val="Compact"/>
        <w:numPr>
          <w:ilvl w:val="0"/>
          <w:numId w:val="1021"/>
        </w:numPr>
      </w:pPr>
      <w:r>
        <w:rPr>
          <w:b/>
          <w:bCs/>
        </w:rPr>
        <w:t xml:space="preserve">Dilution:</w:t>
      </w:r>
      <w:r>
        <w:t xml:space="preserve"> </w:t>
      </w:r>
      <w:r>
        <w:t xml:space="preserve">heavy stock pay, convertible notes near the money, and possible share-funded</w:t>
      </w:r>
      <w:r>
        <w:t xml:space="preserve"> </w:t>
      </w:r>
      <w:r>
        <w:t xml:space="preserve">payments.</w:t>
      </w:r>
    </w:p>
    <w:p>
      <w:pPr>
        <w:pStyle w:val="Compact"/>
        <w:numPr>
          <w:ilvl w:val="0"/>
          <w:numId w:val="1021"/>
        </w:numPr>
      </w:pPr>
      <w:r>
        <w:rPr>
          <w:b/>
          <w:bCs/>
        </w:rPr>
        <w:t xml:space="preserve">Governance:</w:t>
      </w:r>
      <w:r>
        <w:t xml:space="preserve"> </w:t>
      </w:r>
      <w:r>
        <w:t xml:space="preserve">the CEO controls about 90% of votes, so outside shareholders cannot change</w:t>
      </w:r>
      <w:r>
        <w:t xml:space="preserve"> </w:t>
      </w:r>
      <w:r>
        <w:t xml:space="preserve">direction. The Chief Accounting Officer is leaving in October.</w:t>
      </w:r>
    </w:p>
    <w:p>
      <w:pPr>
        <w:pStyle w:val="Compact"/>
        <w:numPr>
          <w:ilvl w:val="0"/>
          <w:numId w:val="1021"/>
        </w:numPr>
      </w:pPr>
      <w:r>
        <w:rPr>
          <w:b/>
          <w:bCs/>
        </w:rPr>
        <w:t xml:space="preserve">Low barriers to entry.</w:t>
      </w:r>
      <w:r>
        <w:t xml:space="preserve"> </w:t>
      </w:r>
      <w:r>
        <w:t xml:space="preserve">Telehealth prescribing is easy to copy. Drug makers now sell directly</w:t>
      </w:r>
      <w:r>
        <w:t xml:space="preserve"> </w:t>
      </w:r>
      <w:r>
        <w:t xml:space="preserve">to consumers, and pharmacies and big tech are all adjacent competitors.</w:t>
      </w:r>
    </w:p>
    <w:bookmarkEnd w:id="16"/>
    <w:bookmarkStart w:id="17" w:name="risk-review"/>
    <w:p>
      <w:pPr>
        <w:pStyle w:val="Heading1"/>
      </w:pPr>
      <w:r>
        <w:t xml:space="preserve">Risk review</w:t>
      </w:r>
    </w:p>
    <w:p>
      <w:pPr>
        <w:pStyle w:val="FirstParagraph"/>
      </w:pPr>
      <w:r>
        <w:rPr>
          <w:b/>
          <w:bCs/>
        </w:rPr>
        <w:t xml:space="preserve">Business and thesis risks</w:t>
      </w:r>
      <w:r>
        <w:t xml:space="preserve"> </w:t>
      </w:r>
      <w:r>
        <w:t xml:space="preserve">(company-specific items from the 10-K/10-Q):</w:t>
      </w:r>
    </w:p>
    <w:p>
      <w:pPr>
        <w:pStyle w:val="Compact"/>
        <w:numPr>
          <w:ilvl w:val="0"/>
          <w:numId w:val="1023"/>
        </w:numPr>
      </w:pPr>
      <w:r>
        <w:rPr>
          <w:b/>
          <w:bCs/>
        </w:rPr>
        <w:t xml:space="preserve">Compounding regulation:</w:t>
      </w:r>
    </w:p>
    <w:p>
      <w:pPr>
        <w:pStyle w:val="Compact"/>
        <w:numPr>
          <w:ilvl w:val="1"/>
          <w:numId w:val="1024"/>
        </w:numPr>
      </w:pPr>
      <w:r>
        <w:t xml:space="preserve">The FDA statement naming the company, and the DOJ referral under the FDCA and Title 18</w:t>
      </w:r>
      <w:r>
        <w:t xml:space="preserve"> </w:t>
      </w:r>
      <w:r>
        <w:t xml:space="preserve">(criminal code) provisions.</w:t>
      </w:r>
    </w:p>
    <w:p>
      <w:pPr>
        <w:pStyle w:val="Compact"/>
        <w:numPr>
          <w:ilvl w:val="1"/>
          <w:numId w:val="1024"/>
        </w:numPr>
      </w:pPr>
      <w:r>
        <w:t xml:space="preserve">The 10-K says outcomes are</w:t>
      </w:r>
      <w:r>
        <w:t xml:space="preserve"> </w:t>
      </w:r>
      <w:r>
        <w:t xml:space="preserve">“unclear”</w:t>
      </w:r>
      <w:r>
        <w:t xml:space="preserve"> </w:t>
      </w:r>
      <w:r>
        <w:t xml:space="preserve">and could bring</w:t>
      </w:r>
      <w:r>
        <w:t xml:space="preserve"> </w:t>
      </w:r>
      <w:r>
        <w:t xml:space="preserve">“operational disruptions”</w:t>
      </w:r>
      <w:r>
        <w:t xml:space="preserve">.</w:t>
      </w:r>
    </w:p>
    <w:p>
      <w:pPr>
        <w:pStyle w:val="Compact"/>
        <w:numPr>
          <w:ilvl w:val="0"/>
          <w:numId w:val="1023"/>
        </w:numPr>
      </w:pPr>
      <w:r>
        <w:rPr>
          <w:b/>
          <w:bCs/>
        </w:rPr>
        <w:t xml:space="preserve">Dependence on affiliated medical groups</w:t>
      </w:r>
      <w:r>
        <w:t xml:space="preserve"> </w:t>
      </w:r>
      <w:r>
        <w:t xml:space="preserve">it does not own, and on clinicians being treated as</w:t>
      </w:r>
      <w:r>
        <w:t xml:space="preserve"> </w:t>
      </w:r>
      <w:r>
        <w:t xml:space="preserve">independent contractors.</w:t>
      </w:r>
    </w:p>
    <w:p>
      <w:pPr>
        <w:pStyle w:val="Compact"/>
        <w:numPr>
          <w:ilvl w:val="0"/>
          <w:numId w:val="1023"/>
        </w:numPr>
      </w:pPr>
      <w:r>
        <w:rPr>
          <w:b/>
          <w:bCs/>
        </w:rPr>
        <w:t xml:space="preserve">Heavy reliance on marketing,</w:t>
      </w:r>
      <w:r>
        <w:t xml:space="preserve"> </w:t>
      </w:r>
      <w:r>
        <w:t xml:space="preserve">influencers and social media. It is exposed to privacy rules on</w:t>
      </w:r>
      <w:r>
        <w:t xml:space="preserve"> </w:t>
      </w:r>
      <w:r>
        <w:t xml:space="preserve">health-data tracking, which is the core of the FTC case per search reports.</w:t>
      </w:r>
    </w:p>
    <w:p>
      <w:pPr>
        <w:pStyle w:val="Compact"/>
        <w:numPr>
          <w:ilvl w:val="0"/>
          <w:numId w:val="1023"/>
        </w:numPr>
      </w:pPr>
      <w:r>
        <w:rPr>
          <w:b/>
          <w:bCs/>
        </w:rPr>
        <w:t xml:space="preserve">Competition</w:t>
      </w:r>
      <w:r>
        <w:t xml:space="preserve"> </w:t>
      </w:r>
      <w:r>
        <w:t xml:space="preserve">from larger, well-funded players, including the drug makers’ own direct-to-</w:t>
      </w:r>
      <w:r>
        <w:t xml:space="preserve"> </w:t>
      </w:r>
      <w:r>
        <w:t xml:space="preserve">consumer channels.</w:t>
      </w:r>
    </w:p>
    <w:p>
      <w:pPr>
        <w:pStyle w:val="Compact"/>
        <w:numPr>
          <w:ilvl w:val="0"/>
          <w:numId w:val="1023"/>
        </w:numPr>
      </w:pPr>
      <w:r>
        <w:rPr>
          <w:b/>
          <w:bCs/>
        </w:rPr>
        <w:t xml:space="preserve">Integration of four acquisitions in about a year,</w:t>
      </w:r>
      <w:r>
        <w:t xml:space="preserve"> </w:t>
      </w:r>
      <w:r>
        <w:t xml:space="preserve">across six-plus countries.</w:t>
      </w:r>
    </w:p>
    <w:p>
      <w:pPr>
        <w:pStyle w:val="FirstParagraph"/>
      </w:pPr>
      <w:r>
        <w:rPr>
          <w:b/>
          <w:bCs/>
        </w:rPr>
        <w:t xml:space="preserve">Valuation risk:</w:t>
      </w:r>
      <w:r>
        <w:t xml:space="preserve"> </w:t>
      </w:r>
      <w:r>
        <w:t xml:space="preserve">with no current earnings, the price rests on 2030 targets that require margins</w:t>
      </w:r>
      <w:r>
        <w:t xml:space="preserve"> </w:t>
      </w:r>
      <w:r>
        <w:t xml:space="preserve">the company has never reached (section 6).</w:t>
      </w:r>
    </w:p>
    <w:p>
      <w:pPr>
        <w:pStyle w:val="BodyText"/>
      </w:pPr>
      <w:r>
        <w:rPr>
          <w:b/>
          <w:bCs/>
        </w:rPr>
        <w:t xml:space="preserve">Balance sheet, dilution and capital allocation:</w:t>
      </w:r>
      <w:r>
        <w:t xml:space="preserve"> </w:t>
      </w:r>
      <w:r>
        <w:rPr>
          <w:b/>
          <w:bCs/>
        </w:rPr>
        <w:t xml:space="preserve">elevated</w:t>
      </w:r>
      <w:r>
        <w:t xml:space="preserve">.</w:t>
      </w:r>
    </w:p>
    <w:p>
      <w:pPr>
        <w:pStyle w:val="Compact"/>
        <w:numPr>
          <w:ilvl w:val="0"/>
          <w:numId w:val="1025"/>
        </w:numPr>
      </w:pPr>
      <w:r>
        <w:t xml:space="preserve">It went from net cash to about $1.4B of net obligations within 12 months.</w:t>
      </w:r>
    </w:p>
    <w:p>
      <w:pPr>
        <w:pStyle w:val="Compact"/>
        <w:numPr>
          <w:ilvl w:val="0"/>
          <w:numId w:val="1025"/>
        </w:numPr>
      </w:pPr>
      <w:r>
        <w:t xml:space="preserve">It spent $55M on buybacks in late 2025, then took on convertible debt.</w:t>
      </w:r>
    </w:p>
    <w:p>
      <w:pPr>
        <w:pStyle w:val="Compact"/>
        <w:numPr>
          <w:ilvl w:val="0"/>
          <w:numId w:val="1025"/>
        </w:numPr>
      </w:pPr>
      <w:r>
        <w:t xml:space="preserve">The 2030 notes ($1.0B) would probably need refinancing or repayment in cash unless the stock</w:t>
      </w:r>
      <w:r>
        <w:t xml:space="preserve"> </w:t>
      </w:r>
      <w:r>
        <w:t xml:space="preserve">more than doubles.</w:t>
      </w:r>
    </w:p>
    <w:p>
      <w:pPr>
        <w:pStyle w:val="FirstParagraph"/>
      </w:pPr>
      <w:r>
        <w:rPr>
          <w:b/>
          <w:bCs/>
        </w:rPr>
        <w:t xml:space="preserve">Insider activity:</w:t>
      </w:r>
    </w:p>
    <w:p>
      <w:pPr>
        <w:pStyle w:val="Compact"/>
        <w:numPr>
          <w:ilvl w:val="0"/>
          <w:numId w:val="1026"/>
        </w:numPr>
      </w:pPr>
      <w:r>
        <w:t xml:space="preserve">No open-market insider purchases.</w:t>
      </w:r>
    </w:p>
    <w:p>
      <w:pPr>
        <w:pStyle w:val="Compact"/>
        <w:numPr>
          <w:ilvl w:val="0"/>
          <w:numId w:val="1026"/>
        </w:numPr>
      </w:pPr>
      <w:r>
        <w:t xml:space="preserve">Regular executive sales under 10b5-1 plans; the CFO sold about $3.6M since June, at $28–$35.</w:t>
      </w:r>
    </w:p>
    <w:p>
      <w:pPr>
        <w:pStyle w:val="Compact"/>
        <w:numPr>
          <w:ilvl w:val="0"/>
          <w:numId w:val="1026"/>
        </w:numPr>
      </w:pPr>
      <w:r>
        <w:t xml:space="preserve">The CEO made large share gifts and transfers in August, which are not sales.</w:t>
      </w:r>
    </w:p>
    <w:p>
      <w:pPr>
        <w:pStyle w:val="FirstParagraph"/>
      </w:pPr>
      <w:r>
        <w:t xml:space="preserve">I read this as neutral to slightly negative: routine selling, and no insider buying at prices well</w:t>
      </w:r>
      <w:r>
        <w:t xml:space="preserve"> </w:t>
      </w:r>
      <w:r>
        <w:t xml:space="preserve">below last year’s.</w:t>
      </w:r>
    </w:p>
    <w:p>
      <w:pPr>
        <w:pStyle w:val="BodyText"/>
      </w:pPr>
      <w:r>
        <w:rPr>
          <w:b/>
          <w:bCs/>
        </w:rPr>
        <w:t xml:space="preserve">Concentration and behavior (general, not personalized):</w:t>
      </w:r>
    </w:p>
    <w:p>
      <w:pPr>
        <w:pStyle w:val="Compact"/>
        <w:numPr>
          <w:ilvl w:val="0"/>
          <w:numId w:val="1027"/>
        </w:numPr>
      </w:pPr>
      <w:r>
        <w:t xml:space="preserve">This is a high-volatility stock. The search-reported 52-week range is roughly 5:1.</w:t>
      </w:r>
    </w:p>
    <w:p>
      <w:pPr>
        <w:pStyle w:val="Compact"/>
        <w:numPr>
          <w:ilvl w:val="0"/>
          <w:numId w:val="1027"/>
        </w:numPr>
      </w:pPr>
      <w:r>
        <w:t xml:space="preserve">Several legal outcomes are binary and could move the price sharply either way.</w:t>
      </w:r>
    </w:p>
    <w:p>
      <w:pPr>
        <w:pStyle w:val="Compact"/>
        <w:numPr>
          <w:ilvl w:val="0"/>
          <w:numId w:val="1027"/>
        </w:numPr>
      </w:pPr>
      <w:r>
        <w:t xml:space="preserve">Investors in stocks like this are often tempted to buy more after large drops, or to sell at the</w:t>
      </w:r>
      <w:r>
        <w:t xml:space="preserve"> </w:t>
      </w:r>
      <w:r>
        <w:t xml:space="preserve">bottom.</w:t>
      </w:r>
    </w:p>
    <w:p>
      <w:pPr>
        <w:pStyle w:val="Compact"/>
        <w:numPr>
          <w:ilvl w:val="0"/>
          <w:numId w:val="1027"/>
        </w:numPr>
      </w:pPr>
      <w:r>
        <w:t xml:space="preserve">No portfolio snapshot was provided, so no portfolio-specific exposure is assessed.</w:t>
      </w:r>
    </w:p>
    <w:bookmarkEnd w:id="17"/>
    <w:bookmarkStart w:id="18" w:name="what-to-watch-in-future-filings"/>
    <w:p>
      <w:pPr>
        <w:pStyle w:val="Heading1"/>
      </w:pPr>
      <w:r>
        <w:t xml:space="preserve">What to watch in future filings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Metric</w:t>
            </w:r>
          </w:p>
        </w:tc>
        <w:tc>
          <w:tcPr/>
          <w:p>
            <w:pPr>
              <w:pStyle w:val="Compact"/>
            </w:pPr>
            <w:r>
              <w:t xml:space="preserve">Latest value (period)</w:t>
            </w:r>
          </w:p>
        </w:tc>
        <w:tc>
          <w:tcPr/>
          <w:p>
            <w:pPr>
              <w:pStyle w:val="Compact"/>
            </w:pPr>
            <w:r>
              <w:t xml:space="preserve">Why it matters</w:t>
            </w:r>
          </w:p>
        </w:tc>
        <w:tc>
          <w:tcPr/>
          <w:p>
            <w:pPr>
              <w:pStyle w:val="Compact"/>
            </w:pPr>
            <w:r>
              <w:t xml:space="preserve">Worth a closer look if…</w:t>
            </w:r>
          </w:p>
        </w:tc>
      </w:tr>
      <w:tr>
        <w:tc>
          <w:tcPr/>
          <w:p>
            <w:pPr>
              <w:pStyle w:val="Compact"/>
            </w:pPr>
            <w:r>
              <w:t xml:space="preserve">FTC case / DOJ referral / Novo suit</w:t>
            </w:r>
          </w:p>
        </w:tc>
        <w:tc>
          <w:tcPr/>
          <w:p>
            <w:pPr>
              <w:pStyle w:val="Compact"/>
            </w:pPr>
            <w:r>
              <w:t xml:space="preserve">Pending; ~$60M accrued for FTC (Q2 2026)</w:t>
            </w:r>
          </w:p>
        </w:tc>
        <w:tc>
          <w:tcPr/>
          <w:p>
            <w:pPr>
              <w:pStyle w:val="Compact"/>
            </w:pPr>
            <w:r>
              <w:t xml:space="preserve">Could restrict marketing, billing or products</w:t>
            </w:r>
          </w:p>
        </w:tc>
        <w:tc>
          <w:tcPr/>
          <w:p>
            <w:pPr>
              <w:pStyle w:val="Compact"/>
            </w:pPr>
            <w:r>
              <w:t xml:space="preserve">Accrual rises, injunction granted, or DOJ action disclosed</w:t>
            </w:r>
          </w:p>
        </w:tc>
      </w:tr>
      <w:tr>
        <w:tc>
          <w:tcPr/>
          <w:p>
            <w:pPr>
              <w:pStyle w:val="Compact"/>
            </w:pPr>
            <w:r>
              <w:t xml:space="preserve">US revenue growth (organic)</w:t>
            </w:r>
          </w:p>
        </w:tc>
        <w:tc>
          <w:tcPr/>
          <w:p>
            <w:pPr>
              <w:pStyle w:val="Compact"/>
            </w:pPr>
            <w:r>
              <w:t xml:space="preserve">+16% Q2, +3% H1 2026</w:t>
            </w:r>
          </w:p>
        </w:tc>
        <w:tc>
          <w:tcPr/>
          <w:p>
            <w:pPr>
              <w:pStyle w:val="Compact"/>
            </w:pPr>
            <w:r>
              <w:t xml:space="preserve">Health of the core business</w:t>
            </w:r>
          </w:p>
        </w:tc>
        <w:tc>
          <w:tcPr/>
          <w:p>
            <w:pPr>
              <w:pStyle w:val="Compact"/>
            </w:pPr>
            <w:r>
              <w:t xml:space="preserve">Stays in low single digits</w:t>
            </w:r>
          </w:p>
        </w:tc>
      </w:tr>
      <w:tr>
        <w:tc>
          <w:tcPr/>
          <w:p>
            <w:pPr>
              <w:pStyle w:val="Compact"/>
            </w:pPr>
            <w:r>
              <w:t xml:space="preserve">Subscribers</w:t>
            </w:r>
          </w:p>
        </w:tc>
        <w:tc>
          <w:tcPr/>
          <w:p>
            <w:pPr>
              <w:pStyle w:val="Compact"/>
            </w:pPr>
            <w:r>
              <w:t xml:space="preserve">2.89M, +19% (Q2 2026)</w:t>
            </w:r>
          </w:p>
        </w:tc>
        <w:tc>
          <w:tcPr/>
          <w:p>
            <w:pPr>
              <w:pStyle w:val="Compact"/>
            </w:pPr>
            <w:r>
              <w:t xml:space="preserve">Demand</w:t>
            </w:r>
          </w:p>
        </w:tc>
        <w:tc>
          <w:tcPr/>
          <w:p>
            <w:pPr>
              <w:pStyle w:val="Compact"/>
            </w:pPr>
            <w:r>
              <w:t xml:space="preserve">Growth below ~10%, or declines</w:t>
            </w:r>
          </w:p>
        </w:tc>
      </w:tr>
      <w:tr>
        <w:tc>
          <w:tcPr/>
          <w:p>
            <w:pPr>
              <w:pStyle w:val="Compact"/>
            </w:pPr>
            <w:r>
              <w:t xml:space="preserve">Gross margin</w:t>
            </w:r>
          </w:p>
        </w:tc>
        <w:tc>
          <w:tcPr/>
          <w:p>
            <w:pPr>
              <w:pStyle w:val="Compact"/>
            </w:pPr>
            <w:r>
              <w:t xml:space="preserve">64% (Q2 2026) vs 76%</w:t>
            </w:r>
          </w:p>
        </w:tc>
        <w:tc>
          <w:tcPr/>
          <w:p>
            <w:pPr>
              <w:pStyle w:val="Compact"/>
            </w:pPr>
            <w:r>
              <w:t xml:space="preserve">Economics after the branded-GLP-1 switch</w:t>
            </w:r>
          </w:p>
        </w:tc>
        <w:tc>
          <w:tcPr/>
          <w:p>
            <w:pPr>
              <w:pStyle w:val="Compact"/>
            </w:pPr>
            <w:r>
              <w:t xml:space="preserve">Falls below ~60%, or doesn’t recover</w:t>
            </w:r>
          </w:p>
        </w:tc>
      </w:tr>
      <w:tr>
        <w:tc>
          <w:tcPr/>
          <w:p>
            <w:pPr>
              <w:pStyle w:val="Compact"/>
            </w:pPr>
            <w:r>
              <w:t xml:space="preserve">Marketing % of revenue</w:t>
            </w:r>
          </w:p>
        </w:tc>
        <w:tc>
          <w:tcPr/>
          <w:p>
            <w:pPr>
              <w:pStyle w:val="Compact"/>
            </w:pPr>
            <w:r>
              <w:t xml:space="preserve">34.8% (Q2 2026)</w:t>
            </w:r>
          </w:p>
        </w:tc>
        <w:tc>
          <w:tcPr/>
          <w:p>
            <w:pPr>
              <w:pStyle w:val="Compact"/>
            </w:pPr>
            <w:r>
              <w:t xml:space="preserve">Cost to acquire customers</w:t>
            </w:r>
          </w:p>
        </w:tc>
        <w:tc>
          <w:tcPr/>
          <w:p>
            <w:pPr>
              <w:pStyle w:val="Compact"/>
            </w:pPr>
            <w:r>
              <w:t xml:space="preserve">Rises without subscriber growth</w:t>
            </w:r>
          </w:p>
        </w:tc>
      </w:tr>
      <w:tr>
        <w:tc>
          <w:tcPr/>
          <w:p>
            <w:pPr>
              <w:pStyle w:val="Compact"/>
            </w:pPr>
            <w:r>
              <w:t xml:space="preserve">GAAP operating income</w:t>
            </w:r>
          </w:p>
        </w:tc>
        <w:tc>
          <w:tcPr/>
          <w:p>
            <w:pPr>
              <w:pStyle w:val="Compact"/>
            </w:pPr>
            <w:r>
              <w:t xml:space="preserve">-$97M (Q2 2026)</w:t>
            </w:r>
          </w:p>
        </w:tc>
        <w:tc>
          <w:tcPr/>
          <w:p>
            <w:pPr>
              <w:pStyle w:val="Compact"/>
            </w:pPr>
            <w:r>
              <w:t xml:space="preserve">Real profitability</w:t>
            </w:r>
          </w:p>
        </w:tc>
        <w:tc>
          <w:tcPr/>
          <w:p>
            <w:pPr>
              <w:pStyle w:val="Compact"/>
            </w:pPr>
            <w:r>
              <w:t xml:space="preserve">No path back to positive by 2027</w:t>
            </w:r>
          </w:p>
        </w:tc>
      </w:tr>
      <w:tr>
        <w:tc>
          <w:tcPr/>
          <w:p>
            <w:pPr>
              <w:pStyle w:val="Compact"/>
            </w:pPr>
            <w:r>
              <w:t xml:space="preserve">Free cash flow</w:t>
            </w:r>
          </w:p>
        </w:tc>
        <w:tc>
          <w:tcPr/>
          <w:p>
            <w:pPr>
              <w:pStyle w:val="Compact"/>
            </w:pPr>
            <w:r>
              <w:t xml:space="preserve">-$68M (Q2 2026)</w:t>
            </w:r>
          </w:p>
        </w:tc>
        <w:tc>
          <w:tcPr/>
          <w:p>
            <w:pPr>
              <w:pStyle w:val="Compact"/>
            </w:pPr>
            <w:r>
              <w:t xml:space="preserve">Ability to pay acquisition obligations</w:t>
            </w:r>
          </w:p>
        </w:tc>
        <w:tc>
          <w:tcPr/>
          <w:p>
            <w:pPr>
              <w:pStyle w:val="Compact"/>
            </w:pPr>
            <w:r>
              <w:t xml:space="preserve">Stays negative while payments come due</w:t>
            </w:r>
          </w:p>
        </w:tc>
      </w:tr>
      <w:tr>
        <w:tc>
          <w:tcPr/>
          <w:p>
            <w:pPr>
              <w:pStyle w:val="Compact"/>
            </w:pPr>
            <w:r>
              <w:t xml:space="preserve">Cash vs obligations due in 12 months</w:t>
            </w:r>
          </w:p>
        </w:tc>
        <w:tc>
          <w:tcPr/>
          <w:p>
            <w:pPr>
              <w:pStyle w:val="Compact"/>
            </w:pPr>
            <w:r>
              <w:t xml:space="preserve">$841M vs ~$620M (June 2026)</w:t>
            </w:r>
          </w:p>
        </w:tc>
        <w:tc>
          <w:tcPr/>
          <w:p>
            <w:pPr>
              <w:pStyle w:val="Compact"/>
            </w:pPr>
            <w:r>
              <w:t xml:space="preserve">Liquidity</w:t>
            </w:r>
          </w:p>
        </w:tc>
        <w:tc>
          <w:tcPr/>
          <w:p>
            <w:pPr>
              <w:pStyle w:val="Compact"/>
            </w:pPr>
            <w:r>
              <w:t xml:space="preserve">Gap narrows, or new equity/debt raised</w:t>
            </w:r>
          </w:p>
        </w:tc>
      </w:tr>
      <w:tr>
        <w:tc>
          <w:tcPr/>
          <w:p>
            <w:pPr>
              <w:pStyle w:val="Compact"/>
            </w:pPr>
            <w:r>
              <w:t xml:space="preserve">Diluted share count</w:t>
            </w:r>
          </w:p>
        </w:tc>
        <w:tc>
          <w:tcPr/>
          <w:p>
            <w:pPr>
              <w:pStyle w:val="Compact"/>
            </w:pPr>
            <w:r>
              <w:t xml:space="preserve">~233M basic (June 2026)</w:t>
            </w:r>
          </w:p>
        </w:tc>
        <w:tc>
          <w:tcPr/>
          <w:p>
            <w:pPr>
              <w:pStyle w:val="Compact"/>
            </w:pPr>
            <w:r>
              <w:t xml:space="preserve">Dilution</w:t>
            </w:r>
          </w:p>
        </w:tc>
        <w:tc>
          <w:tcPr/>
          <w:p>
            <w:pPr>
              <w:pStyle w:val="Compact"/>
            </w:pPr>
            <w:r>
              <w:t xml:space="preserve">Rises more than ~5% a year</w:t>
            </w:r>
          </w:p>
        </w:tc>
      </w:tr>
      <w:tr>
        <w:tc>
          <w:tcPr/>
          <w:p>
            <w:pPr>
              <w:pStyle w:val="Compact"/>
            </w:pPr>
            <w:r>
              <w:t xml:space="preserve">Goodwill impairment</w:t>
            </w:r>
          </w:p>
        </w:tc>
        <w:tc>
          <w:tcPr/>
          <w:p>
            <w:pPr>
              <w:pStyle w:val="Compact"/>
            </w:pPr>
            <w:r>
              <w:t xml:space="preserve">None yet; $1.1B goodwill</w:t>
            </w:r>
          </w:p>
        </w:tc>
        <w:tc>
          <w:tcPr/>
          <w:p>
            <w:pPr>
              <w:pStyle w:val="Compact"/>
            </w:pPr>
            <w:r>
              <w:t xml:space="preserve">Acquisition quality</w:t>
            </w:r>
          </w:p>
        </w:tc>
        <w:tc>
          <w:tcPr/>
          <w:p>
            <w:pPr>
              <w:pStyle w:val="Compact"/>
            </w:pPr>
            <w:r>
              <w:t xml:space="preserve">Any impairment on Zava or Eucalyptus</w:t>
            </w:r>
          </w:p>
        </w:tc>
      </w:tr>
      <w:tr>
        <w:tc>
          <w:tcPr/>
          <w:p>
            <w:pPr>
              <w:pStyle w:val="Compact"/>
            </w:pPr>
            <w:r>
              <w:t xml:space="preserve">CFO/CAO turnover</w:t>
            </w:r>
          </w:p>
        </w:tc>
        <w:tc>
          <w:tcPr/>
          <w:p>
            <w:pPr>
              <w:pStyle w:val="Compact"/>
            </w:pPr>
            <w:r>
              <w:t xml:space="preserve">CAO leaving 9 Oct 2026</w:t>
            </w:r>
          </w:p>
        </w:tc>
        <w:tc>
          <w:tcPr/>
          <w:p>
            <w:pPr>
              <w:pStyle w:val="Compact"/>
            </w:pPr>
            <w:r>
              <w:t xml:space="preserve">Reporting quality</w:t>
            </w:r>
          </w:p>
        </w:tc>
        <w:tc>
          <w:tcPr/>
          <w:p>
            <w:pPr>
              <w:pStyle w:val="Compact"/>
            </w:pPr>
            <w:r>
              <w:t xml:space="preserve">Further finance leadership changes</w:t>
            </w:r>
          </w:p>
        </w:tc>
      </w:tr>
    </w:tbl>
    <w:bookmarkEnd w:id="18"/>
    <w:bookmarkStart w:id="19" w:name="X7fd267f9cd1478eed67035b7fd8d4907bd6f4dc"/>
    <w:p>
      <w:pPr>
        <w:pStyle w:val="Heading1"/>
      </w:pPr>
      <w:r>
        <w:t xml:space="preserve">Review of the Gemini educational scenario (Appendices C and D)</w:t>
      </w:r>
    </w:p>
    <w:p>
      <w:pPr>
        <w:pStyle w:val="FirstParagraph"/>
      </w:pPr>
      <w:r>
        <w:rPr>
          <w:b/>
          <w:bCs/>
        </w:rPr>
        <w:t xml:space="preserve">What it proposes:</w:t>
      </w:r>
      <w:r>
        <w:t xml:space="preserve"> </w:t>
      </w:r>
      <w:r>
        <w:t xml:space="preserve">three approaches, each capped at 2–2.5% of a portfolio, which reflects the</w:t>
      </w:r>
      <w:r>
        <w:t xml:space="preserve"> </w:t>
      </w:r>
      <w:r>
        <w:t xml:space="preserve">higher risk:</w:t>
      </w:r>
    </w:p>
    <w:p>
      <w:pPr>
        <w:pStyle w:val="Compact"/>
        <w:numPr>
          <w:ilvl w:val="0"/>
          <w:numId w:val="1028"/>
        </w:numPr>
      </w:pPr>
      <w:r>
        <w:t xml:space="preserve">A starter position with more purchases tied to margin recovery and resolution of the legal</w:t>
      </w:r>
      <w:r>
        <w:t xml:space="preserve"> </w:t>
      </w:r>
      <w:r>
        <w:t xml:space="preserve">cases.</w:t>
      </w:r>
    </w:p>
    <w:p>
      <w:pPr>
        <w:pStyle w:val="Compact"/>
        <w:numPr>
          <w:ilvl w:val="0"/>
          <w:numId w:val="1028"/>
        </w:numPr>
      </w:pPr>
      <w:r>
        <w:t xml:space="preserve">Monthly purchases over 12–18 months, pausing above about $34.</w:t>
      </w:r>
    </w:p>
    <w:p>
      <w:pPr>
        <w:pStyle w:val="Compact"/>
        <w:numPr>
          <w:ilvl w:val="0"/>
          <w:numId w:val="1028"/>
        </w:numPr>
      </w:pPr>
      <w:r>
        <w:t xml:space="preserve">A</w:t>
      </w:r>
      <w:r>
        <w:t xml:space="preserve"> </w:t>
      </w:r>
      <w:r>
        <w:t xml:space="preserve">“show-me”</w:t>
      </w:r>
      <w:r>
        <w:t xml:space="preserve"> </w:t>
      </w:r>
      <w:r>
        <w:t xml:space="preserve">watchlist that buys nothing now and waits for about $19–23 or for proven</w:t>
      </w:r>
      <w:r>
        <w:t xml:space="preserve"> </w:t>
      </w:r>
      <w:r>
        <w:t xml:space="preserve">profitability.</w:t>
      </w:r>
    </w:p>
    <w:p>
      <w:pPr>
        <w:pStyle w:val="FirstParagraph"/>
      </w:pPr>
      <w:r>
        <w:rPr>
          <w:b/>
          <w:bCs/>
        </w:rPr>
        <w:t xml:space="preserve">It gets these right:</w:t>
      </w:r>
    </w:p>
    <w:p>
      <w:pPr>
        <w:pStyle w:val="Compact"/>
        <w:numPr>
          <w:ilvl w:val="0"/>
          <w:numId w:val="1029"/>
        </w:numPr>
      </w:pPr>
      <w:r>
        <w:t xml:space="preserve">It treats the regulatory and margin issues as central.</w:t>
      </w:r>
    </w:p>
    <w:p>
      <w:pPr>
        <w:pStyle w:val="Compact"/>
        <w:numPr>
          <w:ilvl w:val="0"/>
          <w:numId w:val="1029"/>
        </w:numPr>
      </w:pPr>
      <w:r>
        <w:t xml:space="preserve">It ties purchases to evidence in the filings.</w:t>
      </w:r>
    </w:p>
    <w:p>
      <w:pPr>
        <w:pStyle w:val="Compact"/>
        <w:numPr>
          <w:ilvl w:val="0"/>
          <w:numId w:val="1029"/>
        </w:numPr>
      </w:pPr>
      <w:r>
        <w:t xml:space="preserve">It includes a</w:t>
      </w:r>
      <w:r>
        <w:t xml:space="preserve"> </w:t>
      </w:r>
      <w:r>
        <w:t xml:space="preserve">“don’t buy yet”</w:t>
      </w:r>
      <w:r>
        <w:t xml:space="preserve"> </w:t>
      </w:r>
      <w:r>
        <w:t xml:space="preserve">option.</w:t>
      </w:r>
    </w:p>
    <w:p>
      <w:pPr>
        <w:pStyle w:val="Compact"/>
        <w:numPr>
          <w:ilvl w:val="0"/>
          <w:numId w:val="1029"/>
        </w:numPr>
      </w:pPr>
      <w:r>
        <w:t xml:space="preserve">Its price conversions from price-to-sales are arithmetically correct (e.g., 2.5× sales of $3.2B</w:t>
      </w:r>
      <w:r>
        <w:t xml:space="preserve"> </w:t>
      </w:r>
      <w:r>
        <w:t xml:space="preserve">over about 235M shares ≈ $34).</w:t>
      </w:r>
    </w:p>
    <w:p>
      <w:pPr>
        <w:pStyle w:val="Compact"/>
        <w:numPr>
          <w:ilvl w:val="0"/>
          <w:numId w:val="1029"/>
        </w:numPr>
      </w:pPr>
      <w:r>
        <w:t xml:space="preserve">The tax section is correct and better than last time: it includes the wash-sale IRA rule and</w:t>
      </w:r>
      <w:r>
        <w:t xml:space="preserve"> </w:t>
      </w:r>
      <w:r>
        <w:t xml:space="preserve">the 3.8% net investment income tax.</w:t>
      </w:r>
    </w:p>
    <w:p>
      <w:pPr>
        <w:pStyle w:val="FirstParagraph"/>
      </w:pPr>
      <w:r>
        <w:rPr>
          <w:b/>
          <w:bCs/>
        </w:rPr>
        <w:t xml:space="preserve">Errors and weak points:</w:t>
      </w:r>
    </w:p>
    <w:p>
      <w:pPr>
        <w:pStyle w:val="Compact"/>
        <w:numPr>
          <w:ilvl w:val="0"/>
          <w:numId w:val="1030"/>
        </w:numPr>
      </w:pPr>
      <w:r>
        <w:rPr>
          <w:b/>
          <w:bCs/>
        </w:rPr>
        <w:t xml:space="preserve">The debt error runs through everything.</w:t>
      </w:r>
      <w:r>
        <w:t xml:space="preserve"> </w:t>
      </w:r>
      <w:r>
        <w:t xml:space="preserve">It says long-term debt was $0 at the end of 2025</w:t>
      </w:r>
      <w:r>
        <w:t xml:space="preserve"> </w:t>
      </w:r>
      <w:r>
        <w:t xml:space="preserve">and that debt was only added in mid-2026. In fact, $973M of convertible notes existed at the</w:t>
      </w:r>
      <w:r>
        <w:t xml:space="preserve"> </w:t>
      </w:r>
      <w:r>
        <w:t xml:space="preserve">end of 2025, and total notes are now $1.4B. This understates the balance-sheet risk.</w:t>
      </w:r>
    </w:p>
    <w:p>
      <w:pPr>
        <w:pStyle w:val="Compact"/>
        <w:numPr>
          <w:ilvl w:val="0"/>
          <w:numId w:val="1030"/>
        </w:numPr>
      </w:pPr>
      <w:r>
        <w:rPr>
          <w:b/>
          <w:bCs/>
        </w:rPr>
        <w:t xml:space="preserve">It values the company on price-to-sales and ignores about $1.4B of net obligations.</w:t>
      </w:r>
      <w:r>
        <w:t xml:space="preserve"> </w:t>
      </w:r>
      <w:r>
        <w:t xml:space="preserve">On an</w:t>
      </w:r>
      <w:r>
        <w:t xml:space="preserve"> </w:t>
      </w:r>
      <w:r>
        <w:t xml:space="preserve">enterprise-value basis the multiples are about 20% higher than shown.</w:t>
      </w:r>
    </w:p>
    <w:p>
      <w:pPr>
        <w:pStyle w:val="Compact"/>
        <w:numPr>
          <w:ilvl w:val="0"/>
          <w:numId w:val="1030"/>
        </w:numPr>
      </w:pPr>
      <w:r>
        <w:rPr>
          <w:b/>
          <w:bCs/>
        </w:rPr>
        <w:t xml:space="preserve">An exit rule it has already met:</w:t>
      </w:r>
      <w:r>
        <w:t xml:space="preserve"> </w:t>
      </w:r>
      <w:r>
        <w:t xml:space="preserve">Plan 2 says to exit if debt is above 4× operating cash</w:t>
      </w:r>
      <w:r>
        <w:t xml:space="preserve"> </w:t>
      </w:r>
      <w:r>
        <w:t xml:space="preserve">flow. Using 2025 operating cash flow ($300M) and today’s $1.4B of notes, the ratio is already</w:t>
      </w:r>
      <w:r>
        <w:t xml:space="preserve"> </w:t>
      </w:r>
      <w:r>
        <w:t xml:space="preserve">about 4.7×.</w:t>
      </w:r>
    </w:p>
    <w:p>
      <w:pPr>
        <w:pStyle w:val="Compact"/>
        <w:numPr>
          <w:ilvl w:val="0"/>
          <w:numId w:val="1030"/>
        </w:numPr>
      </w:pPr>
      <w:r>
        <w:rPr>
          <w:b/>
          <w:bCs/>
        </w:rPr>
        <w:t xml:space="preserve">It leaves out:</w:t>
      </w:r>
    </w:p>
    <w:p>
      <w:pPr>
        <w:pStyle w:val="Compact"/>
        <w:numPr>
          <w:ilvl w:val="1"/>
          <w:numId w:val="1031"/>
        </w:numPr>
      </w:pPr>
      <w:r>
        <w:t xml:space="preserve">the CEO’s 90% voting control;</w:t>
      </w:r>
    </w:p>
    <w:p>
      <w:pPr>
        <w:pStyle w:val="Compact"/>
        <w:numPr>
          <w:ilvl w:val="1"/>
          <w:numId w:val="1031"/>
        </w:numPr>
      </w:pPr>
      <w:r>
        <w:t xml:space="preserve">the dilution from the 2032 notes, which convert at about today’s price;</w:t>
      </w:r>
    </w:p>
    <w:p>
      <w:pPr>
        <w:pStyle w:val="Compact"/>
        <w:numPr>
          <w:ilvl w:val="1"/>
          <w:numId w:val="1031"/>
        </w:numPr>
      </w:pPr>
      <w:r>
        <w:t xml:space="preserve">the Chief Accounting Officer’s departure;</w:t>
      </w:r>
    </w:p>
    <w:p>
      <w:pPr>
        <w:pStyle w:val="Compact"/>
        <w:numPr>
          <w:ilvl w:val="1"/>
          <w:numId w:val="1031"/>
        </w:numPr>
      </w:pPr>
      <w:r>
        <w:t xml:space="preserve">Novo Nordisk’s injunction request.</w:t>
      </w:r>
    </w:p>
    <w:p>
      <w:pPr>
        <w:pStyle w:val="Compact"/>
        <w:numPr>
          <w:ilvl w:val="0"/>
          <w:numId w:val="1030"/>
        </w:numPr>
      </w:pPr>
      <w:r>
        <w:rPr>
          <w:b/>
          <w:bCs/>
        </w:rPr>
        <w:t xml:space="preserve">The</w:t>
      </w:r>
      <w:r>
        <w:rPr>
          <w:b/>
          <w:bCs/>
        </w:rPr>
        <w:t xml:space="preserve"> </w:t>
      </w:r>
      <w:r>
        <w:rPr>
          <w:b/>
          <w:bCs/>
        </w:rPr>
        <w:t xml:space="preserve">“moat”</w:t>
      </w:r>
      <w:r>
        <w:rPr>
          <w:b/>
          <w:bCs/>
        </w:rPr>
        <w:t xml:space="preserve"> </w:t>
      </w:r>
      <w:r>
        <w:rPr>
          <w:b/>
          <w:bCs/>
        </w:rPr>
        <w:t xml:space="preserve">argument is weaker than presented.</w:t>
      </w:r>
      <w:r>
        <w:t xml:space="preserve"> </w:t>
      </w:r>
      <w:r>
        <w:t xml:space="preserve">It cites personalized compounded products</w:t>
      </w:r>
      <w:r>
        <w:t xml:space="preserve"> </w:t>
      </w:r>
      <w:r>
        <w:t xml:space="preserve">(over 70% of 2025 US revenue) as switching friction. But the company itself pulled back from</w:t>
      </w:r>
      <w:r>
        <w:t xml:space="preserve"> </w:t>
      </w:r>
      <w:r>
        <w:t xml:space="preserve">compounded GLP-1s in March 2026 under regulatory pressure, and that part of the moat is what</w:t>
      </w:r>
      <w:r>
        <w:t xml:space="preserve"> </w:t>
      </w:r>
      <w:r>
        <w:t xml:space="preserve">is being challenged.</w:t>
      </w:r>
    </w:p>
    <w:p>
      <w:pPr>
        <w:pStyle w:val="Compact"/>
        <w:numPr>
          <w:ilvl w:val="0"/>
          <w:numId w:val="1030"/>
        </w:numPr>
      </w:pPr>
      <w:r>
        <w:rPr>
          <w:b/>
          <w:bCs/>
        </w:rPr>
        <w:t xml:space="preserve">A small error:</w:t>
      </w:r>
      <w:r>
        <w:t xml:space="preserve"> </w:t>
      </w:r>
      <w:r>
        <w:t xml:space="preserve">it points to</w:t>
      </w:r>
      <w:r>
        <w:t xml:space="preserve"> </w:t>
      </w:r>
      <w:r>
        <w:t xml:space="preserve">“Note 8/12”</w:t>
      </w:r>
      <w:r>
        <w:t xml:space="preserve"> </w:t>
      </w:r>
      <w:r>
        <w:t xml:space="preserve">for the legal disclosures; in the Q2 10-Q it is</w:t>
      </w:r>
      <w:r>
        <w:t xml:space="preserve"> </w:t>
      </w:r>
      <w:r>
        <w:t xml:space="preserve">Note 14.</w:t>
      </w:r>
    </w:p>
    <w:p>
      <w:pPr>
        <w:pStyle w:val="FirstParagraph"/>
      </w:pPr>
      <w:r>
        <w:rPr>
          <w:b/>
          <w:bCs/>
        </w:rPr>
        <w:t xml:space="preserve">Points for a second opinion from a qualified professional:</w:t>
      </w:r>
    </w:p>
    <w:p>
      <w:pPr>
        <w:pStyle w:val="Compact"/>
        <w:numPr>
          <w:ilvl w:val="0"/>
          <w:numId w:val="1032"/>
        </w:numPr>
      </w:pPr>
      <w:r>
        <w:t xml:space="preserve">Whether any position in a company facing several unresolved federal legal matters suits your</w:t>
      </w:r>
      <w:r>
        <w:t xml:space="preserve"> </w:t>
      </w:r>
      <w:r>
        <w:t xml:space="preserve">plan.</w:t>
      </w:r>
    </w:p>
    <w:p>
      <w:pPr>
        <w:pStyle w:val="Compact"/>
        <w:numPr>
          <w:ilvl w:val="0"/>
          <w:numId w:val="1032"/>
        </w:numPr>
      </w:pPr>
      <w:r>
        <w:t xml:space="preserve">If you are considering one, how to size it.</w:t>
      </w:r>
    </w:p>
    <w:p>
      <w:pPr>
        <w:pStyle w:val="Compact"/>
        <w:numPr>
          <w:ilvl w:val="0"/>
          <w:numId w:val="1032"/>
        </w:numPr>
      </w:pPr>
      <w:r>
        <w:t xml:space="preserve">As a physician, you are well placed to judge the clinical and regulatory side (compounding and</w:t>
      </w:r>
      <w:r>
        <w:t xml:space="preserve"> </w:t>
      </w:r>
      <w:r>
        <w:t xml:space="preserve">GLP-1 access). A securities professional can help with the financial risk.</w:t>
      </w:r>
    </w:p>
    <w:bookmarkEnd w:id="19"/>
    <w:bookmarkStart w:id="20" w:name="disclaimer"/>
    <w:p>
      <w:pPr>
        <w:pStyle w:val="Heading1"/>
      </w:pPr>
      <w:r>
        <w:t xml:space="preserve">Disclaimer</w:t>
      </w:r>
    </w:p>
    <w:p>
      <w:pPr>
        <w:pStyle w:val="FirstParagraph"/>
      </w:pPr>
      <w:r>
        <w:t xml:space="preserve">This report is for educational and informational purposes only. It is not financial, investment,</w:t>
      </w:r>
      <w:r>
        <w:t xml:space="preserve"> </w:t>
      </w:r>
      <w:r>
        <w:t xml:space="preserve">tax or legal advice, and not a recommendation to buy or sell any security. It combines AI-generated</w:t>
      </w:r>
      <w:r>
        <w:t xml:space="preserve"> </w:t>
      </w:r>
      <w:r>
        <w:t xml:space="preserve">research (Gemini) with AI analysis (Claude). Both can contain errors, and search-sourced figures</w:t>
      </w:r>
      <w:r>
        <w:t xml:space="preserve"> </w:t>
      </w:r>
      <w:r>
        <w:t xml:space="preserve">are unverified. Verify important facts and consult a qualified professional before making</w:t>
      </w:r>
      <w:r>
        <w:t xml:space="preserve"> </w:t>
      </w:r>
      <w:r>
        <w:t xml:space="preserve">investment decisions.</w:t>
      </w:r>
    </w:p>
    <w:p>
      <w:r>
        <w:br w:type="page"/>
      </w:r>
    </w:p>
    <w:p>
      <w:pPr>
        <w:pStyle w:val="BodyText"/>
      </w:pPr>
      <w:r>
        <w:rPr>
          <w:i/>
          <w:iCs/>
        </w:rPr>
        <w:t xml:space="preserve">The appendices are the Gemini specialists’ raw output, included for reference. Claude’s review of them is in the main report; where they disagree, the main report reflects the checked figures.</w:t>
      </w:r>
    </w:p>
    <w:p>
      <w:r>
        <w:br w:type="page"/>
      </w:r>
    </w:p>
    <w:bookmarkEnd w:id="20"/>
    <w:bookmarkStart w:id="30" w:name="Xd8263fab91671fac437c152d0aa5abf8e308b6c"/>
    <w:p>
      <w:pPr>
        <w:pStyle w:val="Heading1"/>
      </w:pPr>
      <w:r>
        <w:t xml:space="preserve">Appendix A: SEC Filings Analysis (Gemini SEC analyst)</w:t>
      </w:r>
    </w:p>
    <w:p>
      <w:pPr>
        <w:pStyle w:val="FirstParagraph"/>
      </w:pPr>
      <w:r>
        <w:rPr>
          <w:b/>
          <w:bCs/>
        </w:rPr>
        <w:t xml:space="preserve">SEC Filings Analysis for: Hims &amp; Hers Health, Inc. (HIMS)</w:t>
      </w:r>
      <w:r>
        <w:br/>
      </w:r>
      <w:r>
        <w:rPr>
          <w:b/>
          <w:bCs/>
        </w:rPr>
        <w:t xml:space="preserve">Fiscal year ends:</w:t>
      </w:r>
      <w:r>
        <w:t xml:space="preserve"> </w:t>
      </w:r>
      <w:r>
        <w:t xml:space="preserve">12-31 |</w:t>
      </w:r>
      <w:r>
        <w:t xml:space="preserve"> </w:t>
      </w:r>
      <w:r>
        <w:rPr>
          <w:b/>
          <w:bCs/>
        </w:rPr>
        <w:t xml:space="preserve">Data as of latest filing:</w:t>
      </w:r>
      <w:r>
        <w:t xml:space="preserve"> </w:t>
      </w:r>
      <w:r>
        <w:t xml:space="preserve">August 10, 2026 (Form 10-Q for Q2 2026; Form 4 filings through September 22, 2026)</w:t>
      </w:r>
    </w:p>
    <w:p>
      <w:r>
        <w:pict>
          <v:rect style="width:0;height:1.5pt" o:hralign="center" o:hrstd="t" o:hr="t"/>
        </w:pict>
      </w:r>
    </w:p>
    <w:bookmarkStart w:id="21" w:name="key-takeaways"/>
    <w:p>
      <w:pPr>
        <w:pStyle w:val="Heading3"/>
      </w:pPr>
      <w:r>
        <w:t xml:space="preserve">1. Key Takeaways</w:t>
      </w:r>
    </w:p>
    <w:p>
      <w:pPr>
        <w:pStyle w:val="Compact"/>
        <w:numPr>
          <w:ilvl w:val="0"/>
          <w:numId w:val="1033"/>
        </w:numPr>
      </w:pPr>
      <w:r>
        <w:rPr>
          <w:b/>
          <w:bCs/>
        </w:rPr>
        <w:t xml:space="preserve">Hyper-Growth Driven by Personalization and Hers Brand:</w:t>
      </w:r>
      <w:r>
        <w:t xml:space="preserve"> </w:t>
      </w:r>
      <w:r>
        <w:t xml:space="preserve">Revenue scaled rapidly from $271.88M in FY2021 to $2,347.64M in FY2025 (+59.0% y/y in FY2025). Personalized offerings expanded to represent over 70% of U.S. revenue in FY2025, while the Hers brand grew to nearly 40% of U.S. revenue.</w:t>
      </w:r>
    </w:p>
    <w:p>
      <w:pPr>
        <w:pStyle w:val="Compact"/>
        <w:numPr>
          <w:ilvl w:val="0"/>
          <w:numId w:val="1033"/>
        </w:numPr>
      </w:pPr>
      <w:r>
        <w:rPr>
          <w:b/>
          <w:bCs/>
        </w:rPr>
        <w:t xml:space="preserve">Profitability and Cash Flow Volatility in FY2026:</w:t>
      </w:r>
      <w:r>
        <w:t xml:space="preserve"> </w:t>
      </w:r>
      <w:r>
        <w:t xml:space="preserve">After achieving GAAP operating profitability in FY2024 ($61.90M) and FY2025 ($105.61M), Hims &amp; Hers reported an operating loss of -$97.19M and net loss of -$86.29M in Q2 2026, burdened by $47.50M in legal contingency charges, $28.84M in acquisition-related costs, and gross margin compression.</w:t>
      </w:r>
    </w:p>
    <w:p>
      <w:pPr>
        <w:pStyle w:val="Compact"/>
        <w:numPr>
          <w:ilvl w:val="0"/>
          <w:numId w:val="1033"/>
        </w:numPr>
      </w:pPr>
      <w:r>
        <w:rPr>
          <w:b/>
          <w:bCs/>
        </w:rPr>
        <w:t xml:space="preserve">Intense Regulatory Scrutiny on Compounded GLP-1s:</w:t>
      </w:r>
      <w:r>
        <w:t xml:space="preserve"> </w:t>
      </w:r>
      <w:r>
        <w:t xml:space="preserve">Following the FDA’s resolution of semaglutide shortages in early 2025, the FDA issued a statement in February 2026 restricting compounded GLP-1 active pharmaceutical ingredients (specifically naming Hims &amp; Hers), and the HHS General Counsel referred the company to the Department of Justice (DOJ) for investigation. In response, management executed a strategic pivot in Q1 2026 toward branded GLP-1 medications and launched a weight loss membership model in March 2026.</w:t>
      </w:r>
    </w:p>
    <w:p>
      <w:pPr>
        <w:pStyle w:val="Compact"/>
        <w:numPr>
          <w:ilvl w:val="0"/>
          <w:numId w:val="1033"/>
        </w:numPr>
      </w:pPr>
      <w:r>
        <w:rPr>
          <w:b/>
          <w:bCs/>
        </w:rPr>
        <w:t xml:space="preserve">Global M&amp;A Push:</w:t>
      </w:r>
      <w:r>
        <w:t xml:space="preserve"> </w:t>
      </w:r>
      <w:r>
        <w:t xml:space="preserve">Hims &amp; Hers expanded internationally by acquiring Zava (U.K./Europe) and Medici (Canada) in 2025, YourBio in January 2026, and closing the acquisition of Eucalyptus (Australia, U.K., Germany, Canada, Japan) in June 2026 for up to $1.15B (including $240M upfront cash, $710M in deferred payments, and up to $200M in earn-outs).</w:t>
      </w:r>
    </w:p>
    <w:p>
      <w:pPr>
        <w:pStyle w:val="Compact"/>
        <w:numPr>
          <w:ilvl w:val="0"/>
          <w:numId w:val="1033"/>
        </w:numPr>
      </w:pPr>
      <w:r>
        <w:rPr>
          <w:b/>
          <w:bCs/>
        </w:rPr>
        <w:t xml:space="preserve">Capital Intensity and Debt Expansion:</w:t>
      </w:r>
      <w:r>
        <w:t xml:space="preserve"> </w:t>
      </w:r>
      <w:r>
        <w:t xml:space="preserve">To finance manufacturing infrastructure (peptide and 503B facilities) and M&amp;A, CapEx surged to $242.59M in FY2025 (reducing FCF to $57.42M from $198.33M in FY2024), and the company entered into new debt arrangements in Q2 2026.</w:t>
      </w:r>
    </w:p>
    <w:p>
      <w:r>
        <w:pict>
          <v:rect style="width:0;height:1.5pt" o:hralign="center" o:hrstd="t" o:hr="t"/>
        </w:pict>
      </w:r>
    </w:p>
    <w:bookmarkEnd w:id="21"/>
    <w:bookmarkStart w:id="22" w:name="financial-trend-table"/>
    <w:p>
      <w:pPr>
        <w:pStyle w:val="Heading3"/>
      </w:pPr>
      <w:r>
        <w:t xml:space="preserve">2. Financial Trend Table</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jc w:val="left"/>
            </w:pPr>
            <w:r>
              <w:t xml:space="preserve">Fiscal Year</w:t>
            </w:r>
          </w:p>
        </w:tc>
        <w:tc>
          <w:tcPr/>
          <w:p>
            <w:pPr>
              <w:pStyle w:val="Compact"/>
              <w:jc w:val="left"/>
            </w:pPr>
            <w:r>
              <w:t xml:space="preserve">Revenue</w:t>
            </w:r>
          </w:p>
        </w:tc>
        <w:tc>
          <w:tcPr/>
          <w:p>
            <w:pPr>
              <w:pStyle w:val="Compact"/>
              <w:jc w:val="left"/>
            </w:pPr>
            <w:r>
              <w:t xml:space="preserve">Revenue Growth %</w:t>
            </w:r>
          </w:p>
        </w:tc>
        <w:tc>
          <w:tcPr/>
          <w:p>
            <w:pPr>
              <w:pStyle w:val="Compact"/>
              <w:jc w:val="left"/>
            </w:pPr>
            <w:r>
              <w:t xml:space="preserve">Operating Margin %</w:t>
            </w:r>
          </w:p>
        </w:tc>
        <w:tc>
          <w:tcPr/>
          <w:p>
            <w:pPr>
              <w:pStyle w:val="Compact"/>
              <w:jc w:val="left"/>
            </w:pPr>
            <w:r>
              <w:t xml:space="preserve">Net Margin %</w:t>
            </w:r>
          </w:p>
        </w:tc>
        <w:tc>
          <w:tcPr/>
          <w:p>
            <w:pPr>
              <w:pStyle w:val="Compact"/>
              <w:jc w:val="left"/>
            </w:pPr>
            <w:r>
              <w:t xml:space="preserve">Diluted EPS</w:t>
            </w:r>
          </w:p>
        </w:tc>
        <w:tc>
          <w:tcPr/>
          <w:p>
            <w:pPr>
              <w:pStyle w:val="Compact"/>
              <w:jc w:val="left"/>
            </w:pPr>
            <w:r>
              <w:t xml:space="preserve">EPS Growth %</w:t>
            </w:r>
          </w:p>
        </w:tc>
        <w:tc>
          <w:tcPr/>
          <w:p>
            <w:pPr>
              <w:pStyle w:val="Compact"/>
              <w:jc w:val="left"/>
            </w:pPr>
            <w:r>
              <w:t xml:space="preserve">Free Cash Flow</w:t>
            </w:r>
          </w:p>
        </w:tc>
        <w:tc>
          <w:tcPr/>
          <w:p>
            <w:pPr>
              <w:pStyle w:val="Compact"/>
              <w:jc w:val="left"/>
            </w:pPr>
            <w:r>
              <w:t xml:space="preserve">Long-Term Debt</w:t>
            </w:r>
          </w:p>
        </w:tc>
        <w:tc>
          <w:tcPr/>
          <w:p>
            <w:pPr>
              <w:pStyle w:val="Compact"/>
              <w:jc w:val="left"/>
            </w:pPr>
            <w:r>
              <w:t xml:space="preserve">Dividends/Share</w:t>
            </w:r>
          </w:p>
        </w:tc>
      </w:tr>
      <w:tr>
        <w:tc>
          <w:tcPr/>
          <w:p>
            <w:pPr>
              <w:pStyle w:val="Compact"/>
              <w:jc w:val="left"/>
            </w:pPr>
            <w:r>
              <w:rPr>
                <w:b/>
                <w:bCs/>
              </w:rPr>
              <w:t xml:space="preserve">FY2025</w:t>
            </w:r>
          </w:p>
        </w:tc>
        <w:tc>
          <w:tcPr/>
          <w:p>
            <w:pPr>
              <w:pStyle w:val="Compact"/>
              <w:jc w:val="left"/>
            </w:pPr>
            <w:r>
              <w:t xml:space="preserve">$2,347.64M</w:t>
            </w:r>
          </w:p>
        </w:tc>
        <w:tc>
          <w:tcPr/>
          <w:p>
            <w:pPr>
              <w:pStyle w:val="Compact"/>
              <w:jc w:val="left"/>
            </w:pPr>
            <w:r>
              <w:t xml:space="preserve">+59.0%</w:t>
            </w:r>
          </w:p>
        </w:tc>
        <w:tc>
          <w:tcPr/>
          <w:p>
            <w:pPr>
              <w:pStyle w:val="Compact"/>
              <w:jc w:val="left"/>
            </w:pPr>
            <w:r>
              <w:t xml:space="preserve">4.5%</w:t>
            </w:r>
          </w:p>
        </w:tc>
        <w:tc>
          <w:tcPr/>
          <w:p>
            <w:pPr>
              <w:pStyle w:val="Compact"/>
              <w:jc w:val="left"/>
            </w:pPr>
            <w:r>
              <w:t xml:space="preserve">5.5%</w:t>
            </w:r>
          </w:p>
        </w:tc>
        <w:tc>
          <w:tcPr/>
          <w:p>
            <w:pPr>
              <w:pStyle w:val="Compact"/>
              <w:jc w:val="left"/>
            </w:pPr>
            <w:r>
              <w:t xml:space="preserve">$0.51</w:t>
            </w:r>
          </w:p>
        </w:tc>
        <w:tc>
          <w:tcPr/>
          <w:p>
            <w:pPr>
              <w:pStyle w:val="Compact"/>
              <w:jc w:val="left"/>
            </w:pPr>
            <w:r>
              <w:t xml:space="preserve">-3.8%</w:t>
            </w:r>
          </w:p>
        </w:tc>
        <w:tc>
          <w:tcPr/>
          <w:p>
            <w:pPr>
              <w:pStyle w:val="Compact"/>
              <w:jc w:val="left"/>
            </w:pPr>
            <w:r>
              <w:t xml:space="preserve">$57.42M</w:t>
            </w:r>
          </w:p>
        </w:tc>
        <w:tc>
          <w:tcPr/>
          <w:p>
            <w:pPr>
              <w:pStyle w:val="Compact"/>
              <w:jc w:val="left"/>
            </w:pPr>
            <w:r>
              <w:t xml:space="preserve">$0.00</w:t>
            </w:r>
          </w:p>
        </w:tc>
        <w:tc>
          <w:tcPr/>
          <w:p>
            <w:pPr>
              <w:pStyle w:val="Compact"/>
              <w:jc w:val="left"/>
            </w:pPr>
            <w:r>
              <w:t xml:space="preserve">$0.00</w:t>
            </w:r>
          </w:p>
        </w:tc>
      </w:tr>
      <w:tr>
        <w:tc>
          <w:tcPr/>
          <w:p>
            <w:pPr>
              <w:pStyle w:val="Compact"/>
              <w:jc w:val="left"/>
            </w:pPr>
            <w:r>
              <w:rPr>
                <w:b/>
                <w:bCs/>
              </w:rPr>
              <w:t xml:space="preserve">FY2024</w:t>
            </w:r>
          </w:p>
        </w:tc>
        <w:tc>
          <w:tcPr/>
          <w:p>
            <w:pPr>
              <w:pStyle w:val="Compact"/>
              <w:jc w:val="left"/>
            </w:pPr>
            <w:r>
              <w:t xml:space="preserve">$1,476.51M</w:t>
            </w:r>
          </w:p>
        </w:tc>
        <w:tc>
          <w:tcPr/>
          <w:p>
            <w:pPr>
              <w:pStyle w:val="Compact"/>
              <w:jc w:val="left"/>
            </w:pPr>
            <w:r>
              <w:t xml:space="preserve">+69.3%</w:t>
            </w:r>
          </w:p>
        </w:tc>
        <w:tc>
          <w:tcPr/>
          <w:p>
            <w:pPr>
              <w:pStyle w:val="Compact"/>
              <w:jc w:val="left"/>
            </w:pPr>
            <w:r>
              <w:t xml:space="preserve">4.2%</w:t>
            </w:r>
          </w:p>
        </w:tc>
        <w:tc>
          <w:tcPr/>
          <w:p>
            <w:pPr>
              <w:pStyle w:val="Compact"/>
              <w:jc w:val="left"/>
            </w:pPr>
            <w:r>
              <w:t xml:space="preserve">8.5%</w:t>
            </w:r>
          </w:p>
        </w:tc>
        <w:tc>
          <w:tcPr/>
          <w:p>
            <w:pPr>
              <w:pStyle w:val="Compact"/>
              <w:jc w:val="left"/>
            </w:pPr>
            <w:r>
              <w:t xml:space="preserve">$0.53</w:t>
            </w:r>
          </w:p>
        </w:tc>
        <w:tc>
          <w:tcPr/>
          <w:p>
            <w:pPr>
              <w:pStyle w:val="Compact"/>
              <w:jc w:val="left"/>
            </w:pPr>
            <w:r>
              <w:t xml:space="preserve">+581.8%</w:t>
            </w:r>
          </w:p>
        </w:tc>
        <w:tc>
          <w:tcPr/>
          <w:p>
            <w:pPr>
              <w:pStyle w:val="Compact"/>
              <w:jc w:val="left"/>
            </w:pPr>
            <w:r>
              <w:t xml:space="preserve">$198.33M</w:t>
            </w:r>
          </w:p>
        </w:tc>
        <w:tc>
          <w:tcPr/>
          <w:p>
            <w:pPr>
              <w:pStyle w:val="Compact"/>
              <w:jc w:val="left"/>
            </w:pPr>
            <w:r>
              <w:t xml:space="preserve">$0.00</w:t>
            </w:r>
          </w:p>
        </w:tc>
        <w:tc>
          <w:tcPr/>
          <w:p>
            <w:pPr>
              <w:pStyle w:val="Compact"/>
              <w:jc w:val="left"/>
            </w:pPr>
            <w:r>
              <w:t xml:space="preserve">$0.00</w:t>
            </w:r>
          </w:p>
        </w:tc>
      </w:tr>
      <w:tr>
        <w:tc>
          <w:tcPr/>
          <w:p>
            <w:pPr>
              <w:pStyle w:val="Compact"/>
              <w:jc w:val="left"/>
            </w:pPr>
            <w:r>
              <w:rPr>
                <w:b/>
                <w:bCs/>
              </w:rPr>
              <w:t xml:space="preserve">FY2023</w:t>
            </w:r>
          </w:p>
        </w:tc>
        <w:tc>
          <w:tcPr/>
          <w:p>
            <w:pPr>
              <w:pStyle w:val="Compact"/>
              <w:jc w:val="left"/>
            </w:pPr>
            <w:r>
              <w:t xml:space="preserve">$872.00M</w:t>
            </w:r>
          </w:p>
        </w:tc>
        <w:tc>
          <w:tcPr/>
          <w:p>
            <w:pPr>
              <w:pStyle w:val="Compact"/>
              <w:jc w:val="left"/>
            </w:pPr>
            <w:r>
              <w:t xml:space="preserve">+65.5%</w:t>
            </w:r>
          </w:p>
        </w:tc>
        <w:tc>
          <w:tcPr/>
          <w:p>
            <w:pPr>
              <w:pStyle w:val="Compact"/>
              <w:jc w:val="left"/>
            </w:pPr>
            <w:r>
              <w:t xml:space="preserve">-3.4%</w:t>
            </w:r>
          </w:p>
        </w:tc>
        <w:tc>
          <w:tcPr/>
          <w:p>
            <w:pPr>
              <w:pStyle w:val="Compact"/>
              <w:jc w:val="left"/>
            </w:pPr>
            <w:r>
              <w:t xml:space="preserve">-2.7%</w:t>
            </w:r>
          </w:p>
        </w:tc>
        <w:tc>
          <w:tcPr/>
          <w:p>
            <w:pPr>
              <w:pStyle w:val="Compact"/>
              <w:jc w:val="left"/>
            </w:pPr>
            <w:r>
              <w:t xml:space="preserve">-$0.11</w:t>
            </w:r>
          </w:p>
        </w:tc>
        <w:tc>
          <w:tcPr/>
          <w:p>
            <w:pPr>
              <w:pStyle w:val="Compact"/>
              <w:jc w:val="left"/>
            </w:pPr>
            <w:r>
              <w:t xml:space="preserve">+65.6%</w:t>
            </w:r>
          </w:p>
        </w:tc>
        <w:tc>
          <w:tcPr/>
          <w:p>
            <w:pPr>
              <w:pStyle w:val="Compact"/>
              <w:jc w:val="left"/>
            </w:pPr>
            <w:r>
              <w:t xml:space="preserve">$46.99M</w:t>
            </w:r>
          </w:p>
        </w:tc>
        <w:tc>
          <w:tcPr/>
          <w:p>
            <w:pPr>
              <w:pStyle w:val="Compact"/>
              <w:jc w:val="left"/>
            </w:pPr>
            <w:r>
              <w:t xml:space="preserve">$0.00</w:t>
            </w:r>
          </w:p>
        </w:tc>
        <w:tc>
          <w:tcPr/>
          <w:p>
            <w:pPr>
              <w:pStyle w:val="Compact"/>
              <w:jc w:val="left"/>
            </w:pPr>
            <w:r>
              <w:t xml:space="preserve">$0.00</w:t>
            </w:r>
          </w:p>
        </w:tc>
      </w:tr>
      <w:tr>
        <w:tc>
          <w:tcPr/>
          <w:p>
            <w:pPr>
              <w:pStyle w:val="Compact"/>
              <w:jc w:val="left"/>
            </w:pPr>
            <w:r>
              <w:rPr>
                <w:b/>
                <w:bCs/>
              </w:rPr>
              <w:t xml:space="preserve">FY2022</w:t>
            </w:r>
          </w:p>
        </w:tc>
        <w:tc>
          <w:tcPr/>
          <w:p>
            <w:pPr>
              <w:pStyle w:val="Compact"/>
              <w:jc w:val="left"/>
            </w:pPr>
            <w:r>
              <w:t xml:space="preserve">$526.92M</w:t>
            </w:r>
          </w:p>
        </w:tc>
        <w:tc>
          <w:tcPr/>
          <w:p>
            <w:pPr>
              <w:pStyle w:val="Compact"/>
              <w:jc w:val="left"/>
            </w:pPr>
            <w:r>
              <w:t xml:space="preserve">+93.8%</w:t>
            </w:r>
          </w:p>
        </w:tc>
        <w:tc>
          <w:tcPr/>
          <w:p>
            <w:pPr>
              <w:pStyle w:val="Compact"/>
              <w:jc w:val="left"/>
            </w:pPr>
            <w:r>
              <w:t xml:space="preserve">-13.0%</w:t>
            </w:r>
          </w:p>
        </w:tc>
        <w:tc>
          <w:tcPr/>
          <w:p>
            <w:pPr>
              <w:pStyle w:val="Compact"/>
              <w:jc w:val="left"/>
            </w:pPr>
            <w:r>
              <w:t xml:space="preserve">-12.5%</w:t>
            </w:r>
          </w:p>
        </w:tc>
        <w:tc>
          <w:tcPr/>
          <w:p>
            <w:pPr>
              <w:pStyle w:val="Compact"/>
              <w:jc w:val="left"/>
            </w:pPr>
            <w:r>
              <w:t xml:space="preserve">-$0.32</w:t>
            </w:r>
          </w:p>
        </w:tc>
        <w:tc>
          <w:tcPr/>
          <w:p>
            <w:pPr>
              <w:pStyle w:val="Compact"/>
              <w:jc w:val="left"/>
            </w:pPr>
            <w:r>
              <w:t xml:space="preserve">+44.8%</w:t>
            </w:r>
          </w:p>
        </w:tc>
        <w:tc>
          <w:tcPr/>
          <w:p>
            <w:pPr>
              <w:pStyle w:val="Compact"/>
              <w:jc w:val="left"/>
            </w:pPr>
            <w:r>
              <w:t xml:space="preserve">-$26.53M</w:t>
            </w:r>
            <w:r>
              <w:rPr>
                <w:i/>
                <w:iCs/>
              </w:rP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rPr>
                <w:b/>
                <w:bCs/>
              </w:rPr>
              <w:t xml:space="preserve">FY2021</w:t>
            </w:r>
          </w:p>
        </w:tc>
        <w:tc>
          <w:tcPr/>
          <w:p>
            <w:pPr>
              <w:pStyle w:val="Compact"/>
              <w:jc w:val="left"/>
            </w:pPr>
            <w:r>
              <w:t xml:space="preserve">$271.88M</w:t>
            </w:r>
          </w:p>
        </w:tc>
        <w:tc>
          <w:tcPr/>
          <w:p>
            <w:pPr>
              <w:pStyle w:val="Compact"/>
              <w:jc w:val="left"/>
            </w:pPr>
            <w:r>
              <w:t xml:space="preserve">+82.8%</w:t>
            </w:r>
          </w:p>
        </w:tc>
        <w:tc>
          <w:tcPr/>
          <w:p>
            <w:pPr>
              <w:pStyle w:val="Compact"/>
              <w:jc w:val="left"/>
            </w:pPr>
            <w:r>
              <w:t xml:space="preserve">-42.3%</w:t>
            </w:r>
          </w:p>
        </w:tc>
        <w:tc>
          <w:tcPr/>
          <w:p>
            <w:pPr>
              <w:pStyle w:val="Compact"/>
              <w:jc w:val="left"/>
            </w:pPr>
            <w:r>
              <w:t xml:space="preserve">-39.6%</w:t>
            </w:r>
          </w:p>
        </w:tc>
        <w:tc>
          <w:tcPr/>
          <w:p>
            <w:pPr>
              <w:pStyle w:val="Compact"/>
              <w:jc w:val="left"/>
            </w:pPr>
            <w:r>
              <w:t xml:space="preserve">-$0.58</w:t>
            </w:r>
          </w:p>
        </w:tc>
        <w:tc>
          <w:tcPr/>
          <w:p>
            <w:pPr>
              <w:pStyle w:val="Compact"/>
              <w:jc w:val="left"/>
            </w:pPr>
            <w:r>
              <w:t xml:space="preserve">-13.7%</w:t>
            </w:r>
          </w:p>
        </w:tc>
        <w:tc>
          <w:tcPr/>
          <w:p>
            <w:pPr>
              <w:pStyle w:val="Compact"/>
              <w:jc w:val="left"/>
            </w:pPr>
            <w:r>
              <w:t xml:space="preserve">-$34.41M</w:t>
            </w:r>
            <w:r>
              <w:rPr>
                <w:i/>
                <w:iCs/>
              </w:rPr>
              <w:t xml:space="preserve">(1)</w:t>
            </w:r>
          </w:p>
        </w:tc>
        <w:tc>
          <w:tcPr/>
          <w:p>
            <w:pPr>
              <w:pStyle w:val="Compact"/>
              <w:jc w:val="left"/>
            </w:pPr>
            <w:r>
              <w:t xml:space="preserve">$0.00</w:t>
            </w:r>
          </w:p>
        </w:tc>
        <w:tc>
          <w:tcPr/>
          <w:p>
            <w:pPr>
              <w:pStyle w:val="Compact"/>
              <w:jc w:val="left"/>
            </w:pPr>
            <w:r>
              <w:t xml:space="preserve">$0.00</w:t>
            </w:r>
          </w:p>
        </w:tc>
      </w:tr>
    </w:tbl>
    <w:p>
      <w:pPr>
        <w:pStyle w:val="BodyText"/>
      </w:pPr>
      <w:r>
        <w:rPr>
          <w:i/>
          <w:iCs/>
        </w:rPr>
        <w:t xml:space="preserve">(1) In FY2021 and FY2022, Free Cash Flow is reflected by negative operating cash flows of -$34.41M and -$26.53M, respectively (detailed CapEx tags were null in official summary XBRL).</w:t>
      </w:r>
    </w:p>
    <w:p>
      <w:pPr>
        <w:pStyle w:val="BodyText"/>
      </w:pPr>
      <w:r>
        <w:rPr>
          <w:b/>
          <w:bCs/>
        </w:rPr>
        <w:t xml:space="preserve">Trend Interpretation:</w:t>
      </w:r>
      <w:r>
        <w:t xml:space="preserve"> </w:t>
      </w:r>
      <w:r>
        <w:t xml:space="preserve">*</w:t>
      </w:r>
      <w:r>
        <w:t xml:space="preserve"> </w:t>
      </w:r>
      <w:r>
        <w:rPr>
          <w:b/>
          <w:bCs/>
        </w:rPr>
        <w:t xml:space="preserve">Revenue &amp; Margins:</w:t>
      </w:r>
      <w:r>
        <w:t xml:space="preserve"> </w:t>
      </w:r>
      <w:r>
        <w:t xml:space="preserve">Revenue expanded at an extraordinary pace (surpassing $2.3B in FY2025), though annual growth moderated from 93.8% in FY2022 to 59.0% in FY2025. Operating margins transitioned from deeply negative (-42.3% in FY2021) to positive (4.2% in FY2024 and 4.5% in FY2025). FY2024 net margin (8.5%) was temporarily elevated by a $54.33M tax benefit from releasing the valuation allowance on deferred tax assets.</w:t>
      </w:r>
      <w:r>
        <w:t xml:space="preserve"> </w:t>
      </w:r>
      <w:r>
        <w:t xml:space="preserve">*</w:t>
      </w:r>
      <w:r>
        <w:t xml:space="preserve"> </w:t>
      </w:r>
      <w:r>
        <w:rPr>
          <w:b/>
          <w:bCs/>
        </w:rPr>
        <w:t xml:space="preserve">Cash Flow vs. Earnings:</w:t>
      </w:r>
      <w:r>
        <w:t xml:space="preserve"> </w:t>
      </w:r>
      <w:r>
        <w:t xml:space="preserve">Operating cash flow expanded from -$34.41M in FY2021 to $300.01M in FY2025. However, FY2025 Free Cash Flow declined to $57.42M (from $198.33M in FY2024) due to heavy capital expenditures ($226.05M in property/equipment/intangibles and $16.55M in website/software development) as the company invested heavily in internal compounding, peptide, and pharmacy facilities.</w:t>
      </w:r>
      <w:r>
        <w:t xml:space="preserve"> </w:t>
      </w:r>
      <w:r>
        <w:t xml:space="preserve">*</w:t>
      </w:r>
      <w:r>
        <w:t xml:space="preserve"> </w:t>
      </w:r>
      <w:r>
        <w:rPr>
          <w:b/>
          <w:bCs/>
        </w:rPr>
        <w:t xml:space="preserve">Debt Load:</w:t>
      </w:r>
      <w:r>
        <w:t xml:space="preserve"> </w:t>
      </w:r>
      <w:r>
        <w:t xml:space="preserve">Long-term funded debt was $0.00 through year-end FY2025, supported by an undrawn $175.0M credit facility ($7.0M in letters of credit). In mid-2026, the company entered into new debt and credit obligations to support the Eucalyptus acquisition and liquidity.</w:t>
      </w:r>
    </w:p>
    <w:p>
      <w:r>
        <w:pict>
          <v:rect style="width:0;height:1.5pt" o:hralign="center" o:hrstd="t" o:hr="t"/>
        </w:pict>
      </w:r>
    </w:p>
    <w:bookmarkEnd w:id="22"/>
    <w:bookmarkStart w:id="23" w:name="Xcc57e4c1c70a0038ec5e79c6d54b0d23270fbed"/>
    <w:p>
      <w:pPr>
        <w:pStyle w:val="Heading3"/>
      </w:pPr>
      <w:r>
        <w:t xml:space="preserve">3. Latest Quarter &amp; Earnings Release (Q2 2026 ended June 30, 2026)</w:t>
      </w:r>
    </w:p>
    <w:p>
      <w:pPr>
        <w:pStyle w:val="FirstParagraph"/>
      </w:pPr>
      <w:r>
        <w:t xml:space="preserve">From the Form 10-Q and Form 8-K filed on August 10, 2026:</w:t>
      </w:r>
      <w:r>
        <w:t xml:space="preserve"> </w:t>
      </w:r>
      <w:r>
        <w:t xml:space="preserve">*</w:t>
      </w:r>
      <w:r>
        <w:t xml:space="preserve"> </w:t>
      </w:r>
      <w:r>
        <w:rPr>
          <w:b/>
          <w:bCs/>
        </w:rPr>
        <w:t xml:space="preserve">Headline Results:</w:t>
      </w:r>
      <w:r>
        <w:t xml:space="preserve"> </w:t>
      </w:r>
      <w:r>
        <w:t xml:space="preserve">*</w:t>
      </w:r>
      <w:r>
        <w:t xml:space="preserve"> </w:t>
      </w:r>
      <w:r>
        <w:rPr>
          <w:b/>
          <w:bCs/>
        </w:rPr>
        <w:t xml:space="preserve">Revenue:</w:t>
      </w:r>
      <w:r>
        <w:t xml:space="preserve"> </w:t>
      </w:r>
      <w:r>
        <w:t xml:space="preserve">$753.21M, up 38.2% y/y compared to $544.83M in Q2 2025.</w:t>
      </w:r>
      <w:r>
        <w:t xml:space="preserve"> </w:t>
      </w:r>
      <w:r>
        <w:t xml:space="preserve">*</w:t>
      </w:r>
      <w:r>
        <w:t xml:space="preserve"> </w:t>
      </w:r>
      <w:r>
        <w:rPr>
          <w:b/>
          <w:bCs/>
        </w:rPr>
        <w:t xml:space="preserve">Operating (Loss) Income:</w:t>
      </w:r>
      <w:r>
        <w:t xml:space="preserve"> </w:t>
      </w:r>
      <w:r>
        <w:t xml:space="preserve">-$97.19M operating loss compared to operating income of $26.72M in Q2 2025.</w:t>
      </w:r>
      <w:r>
        <w:t xml:space="preserve"> </w:t>
      </w:r>
      <w:r>
        <w:t xml:space="preserve">*</w:t>
      </w:r>
      <w:r>
        <w:t xml:space="preserve"> </w:t>
      </w:r>
      <w:r>
        <w:rPr>
          <w:b/>
          <w:bCs/>
        </w:rPr>
        <w:t xml:space="preserve">Net (Loss) Income &amp; Diluted EPS:</w:t>
      </w:r>
      <w:r>
        <w:t xml:space="preserve"> </w:t>
      </w:r>
      <w:r>
        <w:t xml:space="preserve">Net loss of -$86.29M (-$0.37 per diluted share), compared to net income of $42.51M ($0.17 per diluted share) in Q2 2025.</w:t>
      </w:r>
      <w:r>
        <w:t xml:space="preserve"> </w:t>
      </w:r>
      <w:r>
        <w:t xml:space="preserve">*</w:t>
      </w:r>
      <w:r>
        <w:t xml:space="preserve"> </w:t>
      </w:r>
      <w:r>
        <w:rPr>
          <w:b/>
          <w:bCs/>
        </w:rPr>
        <w:t xml:space="preserve">Adjusted EBITDA (non-GAAP):</w:t>
      </w:r>
      <w:r>
        <w:t xml:space="preserve"> </w:t>
      </w:r>
      <w:r>
        <w:t xml:space="preserve">$60.32M (8.0% margin), down from $82.24M (15.1% margin) in Q2 2025. Adjustments to Q2 2026 Adjusted EBITDA included $47.50M in legal contingencies, $42.12M in stock-based compensation, $29.48M in depreciation/amortization, $28.84M in acquisition/transaction-related costs, and $4.63M in restructuring charges.</w:t>
      </w:r>
      <w:r>
        <w:t xml:space="preserve"> </w:t>
      </w:r>
      <w:r>
        <w:t xml:space="preserve">*</w:t>
      </w:r>
      <w:r>
        <w:t xml:space="preserve"> </w:t>
      </w:r>
      <w:r>
        <w:rPr>
          <w:b/>
          <w:bCs/>
        </w:rPr>
        <w:t xml:space="preserve">Segment &amp; Key Metric Highlights:</w:t>
      </w:r>
      <w:r>
        <w:t xml:space="preserve"> </w:t>
      </w:r>
      <w:r>
        <w:t xml:space="preserve">*</w:t>
      </w:r>
      <w:r>
        <w:t xml:space="preserve"> </w:t>
      </w:r>
      <w:r>
        <w:rPr>
          <w:b/>
          <w:bCs/>
        </w:rPr>
        <w:t xml:space="preserve">United States Revenue:</w:t>
      </w:r>
      <w:r>
        <w:t xml:space="preserve"> </w:t>
      </w:r>
      <w:r>
        <w:t xml:space="preserve">$621.83M, up 15.7% y/y, driven by the Hers brand (over 40% of U.S. revenue) and branded weight loss offerings, partially offset by a shift toward shorter shipping cadences.</w:t>
      </w:r>
      <w:r>
        <w:t xml:space="preserve"> </w:t>
      </w:r>
      <w:r>
        <w:t xml:space="preserve">*</w:t>
      </w:r>
      <w:r>
        <w:t xml:space="preserve"> </w:t>
      </w:r>
      <w:r>
        <w:rPr>
          <w:b/>
          <w:bCs/>
        </w:rPr>
        <w:t xml:space="preserve">Rest of the World Revenue:</w:t>
      </w:r>
      <w:r>
        <w:t xml:space="preserve"> </w:t>
      </w:r>
      <w:r>
        <w:t xml:space="preserve">$131.38M, up 1,641% y/y from $7.55M in Q2 2025, driven by international acquisitions including a single month of revenue from Eucalyptus (acquired June 2026).</w:t>
      </w:r>
      <w:r>
        <w:t xml:space="preserve"> </w:t>
      </w:r>
      <w:r>
        <w:t xml:space="preserve">*</w:t>
      </w:r>
      <w:r>
        <w:t xml:space="preserve"> </w:t>
      </w:r>
      <w:r>
        <w:rPr>
          <w:b/>
          <w:bCs/>
        </w:rPr>
        <w:t xml:space="preserve">Subscribers:</w:t>
      </w:r>
      <w:r>
        <w:t xml:space="preserve"> </w:t>
      </w:r>
      <w:r>
        <w:t xml:space="preserve">Reached 2.891 million at quarter-end, up 18.5% y/y from 2.439 million.</w:t>
      </w:r>
      <w:r>
        <w:t xml:space="preserve"> </w:t>
      </w:r>
      <w:r>
        <w:t xml:space="preserve">*</w:t>
      </w:r>
      <w:r>
        <w:t xml:space="preserve"> </w:t>
      </w:r>
      <w:r>
        <w:rPr>
          <w:b/>
          <w:bCs/>
        </w:rPr>
        <w:t xml:space="preserve">Monthly Revenue per Average Subscriber:</w:t>
      </w:r>
      <w:r>
        <w:t xml:space="preserve"> </w:t>
      </w:r>
      <w:r>
        <w:t xml:space="preserve">$92, up 21.1% y/y from $76.</w:t>
      </w:r>
      <w:r>
        <w:t xml:space="preserve"> </w:t>
      </w:r>
      <w:r>
        <w:t xml:space="preserve">*</w:t>
      </w:r>
      <w:r>
        <w:t xml:space="preserve"> </w:t>
      </w:r>
      <w:r>
        <w:rPr>
          <w:b/>
          <w:bCs/>
        </w:rPr>
        <w:t xml:space="preserve">Gross Margin Compression:</w:t>
      </w:r>
      <w:r>
        <w:t xml:space="preserve"> </w:t>
      </w:r>
      <w:r>
        <w:t xml:space="preserve">Gross margin contracted to 63.8% (compared to 76.4% in Q2 2025), driven by weight loss offerings requiring shorter shipping cadences, higher packaging and fulfillment costs, the integration of international businesses, and product mix shifts.</w:t>
      </w:r>
      <w:r>
        <w:t xml:space="preserve"> </w:t>
      </w:r>
      <w:r>
        <w:t xml:space="preserve">*</w:t>
      </w:r>
      <w:r>
        <w:t xml:space="preserve"> </w:t>
      </w:r>
      <w:r>
        <w:rPr>
          <w:b/>
          <w:bCs/>
        </w:rPr>
        <w:t xml:space="preserve">Cash Flow:</w:t>
      </w:r>
      <w:r>
        <w:t xml:space="preserve"> </w:t>
      </w:r>
      <w:r>
        <w:t xml:space="preserve">* Q2 2026 cash used in operating activities was -$35.94M, and Free Cash Flow was -$68.19M (reflecting $25.93M in CapEx and $6.33M in software/website capitalization). Six-month operating cash flow was $53.42M and Free Cash Flow was -$15.16M.</w:t>
      </w:r>
    </w:p>
    <w:p>
      <w:r>
        <w:pict>
          <v:rect style="width:0;height:1.5pt" o:hralign="center" o:hrstd="t" o:hr="t"/>
        </w:pict>
      </w:r>
    </w:p>
    <w:bookmarkEnd w:id="23"/>
    <w:bookmarkStart w:id="24" w:name="b.-dividend"/>
    <w:p>
      <w:pPr>
        <w:pStyle w:val="Heading3"/>
      </w:pPr>
      <w:r>
        <w:t xml:space="preserve">3b. Dividend</w:t>
      </w:r>
    </w:p>
    <w:p>
      <w:pPr>
        <w:pStyle w:val="Compact"/>
        <w:numPr>
          <w:ilvl w:val="0"/>
          <w:numId w:val="1034"/>
        </w:numPr>
      </w:pPr>
      <w:r>
        <w:rPr>
          <w:b/>
          <w:bCs/>
        </w:rPr>
        <w:t xml:space="preserve">Current Regular Dividend:</w:t>
      </w:r>
      <w:r>
        <w:t xml:space="preserve"> </w:t>
      </w:r>
      <w:r>
        <w:t xml:space="preserve">Hims &amp; Hers Health, Inc. pays</w:t>
      </w:r>
      <w:r>
        <w:t xml:space="preserve"> </w:t>
      </w:r>
      <w:r>
        <w:rPr>
          <w:b/>
          <w:bCs/>
        </w:rPr>
        <w:t xml:space="preserve">no dividend</w:t>
      </w:r>
      <w:r>
        <w:t xml:space="preserve"> </w:t>
      </w:r>
      <w:r>
        <w:t xml:space="preserve">($0.00 per share; annualized $0.00).</w:t>
      </w:r>
    </w:p>
    <w:p>
      <w:pPr>
        <w:pStyle w:val="Compact"/>
        <w:numPr>
          <w:ilvl w:val="0"/>
          <w:numId w:val="1034"/>
        </w:numPr>
      </w:pPr>
      <w:r>
        <w:rPr>
          <w:b/>
          <w:bCs/>
        </w:rPr>
        <w:t xml:space="preserve">Source:</w:t>
      </w:r>
      <w:r>
        <w:t xml:space="preserve"> </w:t>
      </w:r>
      <w:r>
        <w:t xml:space="preserve">SEC Form 10-K and 10-Q filings, confirmed by</w:t>
      </w:r>
      <w:r>
        <w:t xml:space="preserve"> </w:t>
      </w:r>
      <w:r>
        <w:rPr>
          <w:rStyle w:val="VerbatimChar"/>
        </w:rPr>
        <w:t xml:space="preserve">get_dividend_info</w:t>
      </w:r>
      <w:r>
        <w:t xml:space="preserve">.</w:t>
      </w:r>
    </w:p>
    <w:p>
      <w:pPr>
        <w:pStyle w:val="Compact"/>
        <w:numPr>
          <w:ilvl w:val="0"/>
          <w:numId w:val="1034"/>
        </w:numPr>
      </w:pPr>
      <w:r>
        <w:rPr>
          <w:b/>
          <w:bCs/>
        </w:rPr>
        <w:t xml:space="preserve">Recent Changes / Specials:</w:t>
      </w:r>
      <w:r>
        <w:t xml:space="preserve"> </w:t>
      </w:r>
      <w:r>
        <w:t xml:space="preserve">No dividend declarations, increases, or special dividends have been filed in recent SEC filings.</w:t>
      </w:r>
    </w:p>
    <w:p>
      <w:pPr>
        <w:pStyle w:val="Compact"/>
        <w:numPr>
          <w:ilvl w:val="0"/>
          <w:numId w:val="1034"/>
        </w:numPr>
      </w:pPr>
      <w:r>
        <w:rPr>
          <w:b/>
          <w:bCs/>
        </w:rPr>
        <w:t xml:space="preserve">Freshness Warning:</w:t>
      </w:r>
      <w:r>
        <w:t xml:space="preserve"> </w:t>
      </w:r>
      <w:r>
        <w:t xml:space="preserve">None; company does not pay a dividend and has historically retained all capital for platform expansion and acquisitions.</w:t>
      </w:r>
    </w:p>
    <w:p>
      <w:r>
        <w:pict>
          <v:rect style="width:0;height:1.5pt" o:hralign="center" o:hrstd="t" o:hr="t"/>
        </w:pict>
      </w:r>
    </w:p>
    <w:bookmarkEnd w:id="24"/>
    <w:bookmarkStart w:id="25" w:name="insider-activity"/>
    <w:p>
      <w:pPr>
        <w:pStyle w:val="Heading3"/>
      </w:pPr>
      <w:r>
        <w:t xml:space="preserve">4. Insider Activity</w:t>
      </w:r>
    </w:p>
    <w:p>
      <w:pPr>
        <w:pStyle w:val="FirstParagraph"/>
      </w:pPr>
      <w:r>
        <w:t xml:space="preserve">From the 20 most recent Form 4 filings (covering June 2026 through September 2026):</w:t>
      </w:r>
      <w:r>
        <w:t xml:space="preserve"> </w:t>
      </w:r>
      <w:r>
        <w:t xml:space="preserve">*</w:t>
      </w:r>
      <w:r>
        <w:t xml:space="preserve"> </w:t>
      </w:r>
      <w:r>
        <w:rPr>
          <w:b/>
          <w:bCs/>
        </w:rPr>
        <w:t xml:space="preserve">Discretionary Open-Market Purchases (Code P):</w:t>
      </w:r>
      <w:r>
        <w:t xml:space="preserve"> </w:t>
      </w:r>
      <w:r>
        <w:rPr>
          <w:b/>
          <w:bCs/>
        </w:rPr>
        <w:t xml:space="preserve">$0.00</w:t>
      </w:r>
      <w:r>
        <w:t xml:space="preserve"> </w:t>
      </w:r>
      <w:r>
        <w:t xml:space="preserve">*</w:t>
      </w:r>
      <w:r>
        <w:t xml:space="preserve"> </w:t>
      </w:r>
      <w:r>
        <w:rPr>
          <w:b/>
          <w:bCs/>
        </w:rPr>
        <w:t xml:space="preserve">Open-Market Sales (Code S):</w:t>
      </w:r>
      <w:r>
        <w:t xml:space="preserve"> </w:t>
      </w:r>
      <w:r>
        <w:rPr>
          <w:b/>
          <w:bCs/>
        </w:rPr>
        <w:t xml:space="preserve">$5,639,686.65</w:t>
      </w:r>
      <w:r>
        <w:t xml:space="preserve"> </w:t>
      </w:r>
      <w:r>
        <w:t xml:space="preserve">*</w:t>
      </w:r>
      <w:r>
        <w:t xml:space="preserve"> </w:t>
      </w:r>
      <w:r>
        <w:rPr>
          <w:b/>
          <w:bCs/>
        </w:rPr>
        <w:t xml:space="preserve">Notable Insiders:</w:t>
      </w:r>
      <w:r>
        <w:t xml:space="preserve"> </w:t>
      </w:r>
      <w:r>
        <w:t xml:space="preserve">*</w:t>
      </w:r>
      <w:r>
        <w:t xml:space="preserve"> </w:t>
      </w:r>
      <w:r>
        <w:rPr>
          <w:b/>
          <w:bCs/>
        </w:rPr>
        <w:t xml:space="preserve">Oluyemi Okupe (CFO):</w:t>
      </w:r>
      <w:r>
        <w:t xml:space="preserve"> </w:t>
      </w:r>
      <w:r>
        <w:t xml:space="preserve">Executed multiple pre-scheduled Rule 10b5-1 sales totaling ~$3.60M across June, August, and September 2026 at prices ranging from $27.89 to $35.09, alongside stock option exercises.</w:t>
      </w:r>
      <w:r>
        <w:t xml:space="preserve"> </w:t>
      </w:r>
      <w:r>
        <w:t xml:space="preserve">*</w:t>
      </w:r>
      <w:r>
        <w:t xml:space="preserve"> </w:t>
      </w:r>
      <w:r>
        <w:rPr>
          <w:b/>
          <w:bCs/>
        </w:rPr>
        <w:t xml:space="preserve">Soleil Boughton (Chief Legal Officer):</w:t>
      </w:r>
      <w:r>
        <w:t xml:space="preserve"> </w:t>
      </w:r>
      <w:r>
        <w:t xml:space="preserve">Sold ~$963.5k via Rule 10b5-1 plan sales in August and September 2026, alongside RSU vesting and tax-withholding.</w:t>
      </w:r>
      <w:r>
        <w:t xml:space="preserve"> </w:t>
      </w:r>
      <w:r>
        <w:t xml:space="preserve">*</w:t>
      </w:r>
      <w:r>
        <w:t xml:space="preserve"> </w:t>
      </w:r>
      <w:r>
        <w:rPr>
          <w:b/>
          <w:bCs/>
        </w:rPr>
        <w:t xml:space="preserve">Deborah M. Autor (Director &amp; Chief Policy Officer):</w:t>
      </w:r>
      <w:r>
        <w:t xml:space="preserve"> </w:t>
      </w:r>
      <w:r>
        <w:t xml:space="preserve">Sold $467.1k in August 2026 under a Rule 10b5-1 plan.</w:t>
      </w:r>
      <w:r>
        <w:t xml:space="preserve"> </w:t>
      </w:r>
      <w:r>
        <w:t xml:space="preserve">*</w:t>
      </w:r>
      <w:r>
        <w:t xml:space="preserve"> </w:t>
      </w:r>
      <w:r>
        <w:rPr>
          <w:b/>
          <w:bCs/>
        </w:rPr>
        <w:t xml:space="preserve">Michael Chi (COO):</w:t>
      </w:r>
      <w:r>
        <w:t xml:space="preserve"> </w:t>
      </w:r>
      <w:r>
        <w:t xml:space="preserve">Sold $398.2k under a Rule 10b5-1 plan in September 2026.</w:t>
      </w:r>
      <w:r>
        <w:t xml:space="preserve"> </w:t>
      </w:r>
      <w:r>
        <w:t xml:space="preserve">*</w:t>
      </w:r>
      <w:r>
        <w:t xml:space="preserve"> </w:t>
      </w:r>
      <w:r>
        <w:rPr>
          <w:b/>
          <w:bCs/>
        </w:rPr>
        <w:t xml:space="preserve">Mohamed Elshenawy (CTO):</w:t>
      </w:r>
      <w:r>
        <w:t xml:space="preserve"> </w:t>
      </w:r>
      <w:r>
        <w:t xml:space="preserve">Sold $225.8k under a Rule 10b5-1 plan in September 2026.</w:t>
      </w:r>
      <w:r>
        <w:t xml:space="preserve"> </w:t>
      </w:r>
      <w:r>
        <w:t xml:space="preserve">*</w:t>
      </w:r>
      <w:r>
        <w:t xml:space="preserve"> </w:t>
      </w:r>
      <w:r>
        <w:rPr>
          <w:b/>
          <w:bCs/>
        </w:rPr>
        <w:t xml:space="preserve">Andrew Dudum (CEO, Director, 10% Owner):</w:t>
      </w:r>
      <w:r>
        <w:t xml:space="preserve"> </w:t>
      </w:r>
      <w:r>
        <w:t xml:space="preserve">Executed share gifts and routine tax-withholding on vested equity; no discretionary open-market sales were reported.</w:t>
      </w:r>
      <w:r>
        <w:t xml:space="preserve"> </w:t>
      </w:r>
      <w:r>
        <w:t xml:space="preserve">*</w:t>
      </w:r>
      <w:r>
        <w:t xml:space="preserve"> </w:t>
      </w:r>
      <w:r>
        <w:rPr>
          <w:b/>
          <w:bCs/>
        </w:rPr>
        <w:t xml:space="preserve">Interpretation:</w:t>
      </w:r>
      <w:r>
        <w:t xml:space="preserve"> </w:t>
      </w:r>
      <w:r>
        <w:t xml:space="preserve">Insider activity is entirely characterized by routine, pre-scheduled Rule 10b5-1 trading plan sales, stock option exercises, and tax withholdings, with zero discretionary open-market buying.</w:t>
      </w:r>
    </w:p>
    <w:p>
      <w:r>
        <w:pict>
          <v:rect style="width:0;height:1.5pt" o:hralign="center" o:hrstd="t" o:hr="t"/>
        </w:pict>
      </w:r>
    </w:p>
    <w:bookmarkEnd w:id="25"/>
    <w:bookmarkStart w:id="26" w:name="company-specific-risk-factors"/>
    <w:p>
      <w:pPr>
        <w:pStyle w:val="Heading3"/>
      </w:pPr>
      <w:r>
        <w:t xml:space="preserve">5. Company-Specific Risk Factors</w:t>
      </w:r>
    </w:p>
    <w:p>
      <w:pPr>
        <w:pStyle w:val="Compact"/>
        <w:numPr>
          <w:ilvl w:val="0"/>
          <w:numId w:val="1035"/>
        </w:numPr>
      </w:pPr>
      <w:r>
        <w:rPr>
          <w:b/>
          <w:bCs/>
        </w:rPr>
        <w:t xml:space="preserve">Intense Regulatory Scrutiny and DOJ Referral on Compounded GLP-1s:</w:t>
      </w:r>
      <w:r>
        <w:br/>
      </w:r>
      <w:r>
        <w:t xml:space="preserve">The FDA resolved the semaglutide shortage in February 2025, which restricted 503B compounding. In February 2026, the FDA issued a statement intending to restrict active pharmaceutical ingredients for mass-marketed non-FDA-approved compounded GLP-1 drugs and explicitly named Hims &amp; Hers. Furthermore, the General Counsel of HHS publicly stated that Hims &amp; Hers was referred to the DOJ for investigation under the FDCA and Title 18. This poses substantial legal, financial, and operational risks.</w:t>
      </w:r>
    </w:p>
    <w:p>
      <w:pPr>
        <w:pStyle w:val="Compact"/>
        <w:numPr>
          <w:ilvl w:val="0"/>
          <w:numId w:val="1035"/>
        </w:numPr>
      </w:pPr>
      <w:r>
        <w:rPr>
          <w:b/>
          <w:bCs/>
        </w:rPr>
        <w:t xml:space="preserve">Gross Margin Compression and Shift in Weight Loss Product Mix:</w:t>
      </w:r>
      <w:r>
        <w:br/>
      </w:r>
      <w:r>
        <w:t xml:space="preserve">The expansion into weight loss medications and shorter shipping cadences (such as 30-day refills vs. 90-day bundles) increased packaging, fulfillment, and cold-chain shipping costs. In addition, transitioning toward branded GLP-1s carries significantly lower product margins than generic compounding, compressing consolidated gross margin from ~76% in Q2 2025 to ~64% in Q2 2026.</w:t>
      </w:r>
    </w:p>
    <w:p>
      <w:pPr>
        <w:pStyle w:val="Compact"/>
        <w:numPr>
          <w:ilvl w:val="0"/>
          <w:numId w:val="1035"/>
        </w:numPr>
      </w:pPr>
      <w:r>
        <w:rPr>
          <w:b/>
          <w:bCs/>
        </w:rPr>
        <w:t xml:space="preserve">Reliance on High Marketing Spend and Customer Acquisition Channels:</w:t>
      </w:r>
      <w:r>
        <w:br/>
      </w:r>
      <w:r>
        <w:t xml:space="preserve">Customer acquisition costs represent the company’s largest single operating cost ($229.5M in Q2 2026; $798.5M in FY2025). The business is highly vulnerable to rising digital advertising costs, platform policy shifts, changes in consumer sentiment, and legal restrictions on health-related digital tracking technologies.</w:t>
      </w:r>
    </w:p>
    <w:p>
      <w:pPr>
        <w:pStyle w:val="Compact"/>
        <w:numPr>
          <w:ilvl w:val="0"/>
          <w:numId w:val="1035"/>
        </w:numPr>
      </w:pPr>
      <w:r>
        <w:rPr>
          <w:b/>
          <w:bCs/>
        </w:rPr>
        <w:t xml:space="preserve">Corporate Practice of Medicine (CPOM) &amp; Affiliated Medical Group Structure:</w:t>
      </w:r>
      <w:r>
        <w:br/>
      </w:r>
      <w:r>
        <w:t xml:space="preserve">Because most U.S. states prohibit non-physician corporate ownership of medical practices, Hims &amp; Hers relies on contractual management agreements with physician-owned Affiliated Medical Groups (accounted for as Variable Interest Entities). Changes in state healthcare enforcement, clinician shortages, or challenges to these contractual structures could directly disrupt operations.</w:t>
      </w:r>
    </w:p>
    <w:p>
      <w:pPr>
        <w:pStyle w:val="Compact"/>
        <w:numPr>
          <w:ilvl w:val="0"/>
          <w:numId w:val="1035"/>
        </w:numPr>
      </w:pPr>
      <w:r>
        <w:rPr>
          <w:b/>
          <w:bCs/>
        </w:rPr>
        <w:t xml:space="preserve">Significant Integration and Financial Obligations from Eucalyptus &amp; International M&amp;A:</w:t>
      </w:r>
      <w:r>
        <w:br/>
      </w:r>
      <w:r>
        <w:t xml:space="preserve">The Eucalyptus acquisition requires up to $1.15B in consideration ($240M upfront cash, $710M in deferred quarterly payments over 18 months, and up to $200M in earn-outs). Integrating operations across Australia, Japan, the U.K., Germany, and Canada exposes Hims to foreign regulatory frameworks, currency volatility, and substantial deferred cash or dilutive equity commitments.</w:t>
      </w:r>
    </w:p>
    <w:p>
      <w:pPr>
        <w:pStyle w:val="Compact"/>
        <w:numPr>
          <w:ilvl w:val="0"/>
          <w:numId w:val="1035"/>
        </w:numPr>
      </w:pPr>
      <w:r>
        <w:rPr>
          <w:b/>
          <w:bCs/>
        </w:rPr>
        <w:t xml:space="preserve">Dual-Class Voting Concentration:</w:t>
      </w:r>
      <w:r>
        <w:br/>
      </w:r>
      <w:r>
        <w:t xml:space="preserve">Co-Founder and CEO Andrew Dudum controls substantial voting power through multi-class common stock, giving him outsized influence over corporate strategy, board composition, and material M&amp;A transactions.</w:t>
      </w:r>
    </w:p>
    <w:p>
      <w:r>
        <w:pict>
          <v:rect style="width:0;height:1.5pt" o:hralign="center" o:hrstd="t" o:hr="t"/>
        </w:pict>
      </w:r>
    </w:p>
    <w:bookmarkEnd w:id="26"/>
    <w:bookmarkStart w:id="27" w:name="managements-discussion-highlights"/>
    <w:p>
      <w:pPr>
        <w:pStyle w:val="Heading3"/>
      </w:pPr>
      <w:r>
        <w:t xml:space="preserve">6. Management’s Discussion Highlights</w:t>
      </w:r>
    </w:p>
    <w:p>
      <w:pPr>
        <w:pStyle w:val="Compact"/>
        <w:numPr>
          <w:ilvl w:val="0"/>
          <w:numId w:val="1036"/>
        </w:numPr>
      </w:pPr>
      <w:r>
        <w:rPr>
          <w:b/>
          <w:bCs/>
        </w:rPr>
        <w:t xml:space="preserve">Strategic Pivot in Weight Loss (2026 US WL Announcement):</w:t>
      </w:r>
      <w:r>
        <w:br/>
      </w:r>
      <w:r>
        <w:t xml:space="preserve">In early 2026, management shifted its U.S. weight loss strategy to align with its international approach: emphasizing access to branded GLP-1 medications while limiting compounded GLP-1 offerings. In late March 2026, Hims launched a dedicated weight loss membership program granting access to clinical support and medication plans.</w:t>
      </w:r>
    </w:p>
    <w:p>
      <w:pPr>
        <w:pStyle w:val="Compact"/>
        <w:numPr>
          <w:ilvl w:val="0"/>
          <w:numId w:val="1036"/>
        </w:numPr>
      </w:pPr>
      <w:r>
        <w:rPr>
          <w:b/>
          <w:bCs/>
        </w:rPr>
        <w:t xml:space="preserve">Rapid Specialty and Personalized Offering Expansion:</w:t>
      </w:r>
      <w:r>
        <w:br/>
      </w:r>
      <w:r>
        <w:t xml:space="preserve">Over 70% of U.S. revenue in FY2025 stemmed from personalized treatment formulations (custom dosages and multi-ingredient combinations), up from ~50% in FY2024. Management continues to roll out adjacent categories, including testosterone therapy, menopause/perimenopause care, and capillary whole-blood lab testing.</w:t>
      </w:r>
    </w:p>
    <w:p>
      <w:pPr>
        <w:pStyle w:val="Compact"/>
        <w:numPr>
          <w:ilvl w:val="0"/>
          <w:numId w:val="1036"/>
        </w:numPr>
      </w:pPr>
      <w:r>
        <w:rPr>
          <w:b/>
          <w:bCs/>
        </w:rPr>
        <w:t xml:space="preserve">Capital Allocation &amp; Infrastructure Investments:</w:t>
      </w:r>
      <w:r>
        <w:br/>
      </w:r>
      <w:r>
        <w:t xml:space="preserve">Management is deploying capital across two main pillars:</w:t>
      </w:r>
    </w:p>
    <w:p>
      <w:pPr>
        <w:pStyle w:val="Compact"/>
        <w:numPr>
          <w:ilvl w:val="1"/>
          <w:numId w:val="1037"/>
        </w:numPr>
      </w:pPr>
      <w:r>
        <w:rPr>
          <w:i/>
          <w:iCs/>
        </w:rPr>
        <w:t xml:space="preserve">Internal Infrastructure:</w:t>
      </w:r>
      <w:r>
        <w:t xml:space="preserve"> </w:t>
      </w:r>
      <w:r>
        <w:t xml:space="preserve">Investments in internal 503A and 503B facilities, peptide manufacturing (CS Bio asset acquisition), and laboratory diagnostic facilities to internalize fulfillment and reduce third-party reliance.</w:t>
      </w:r>
    </w:p>
    <w:p>
      <w:pPr>
        <w:pStyle w:val="Compact"/>
        <w:numPr>
          <w:ilvl w:val="1"/>
          <w:numId w:val="1037"/>
        </w:numPr>
      </w:pPr>
      <w:r>
        <w:rPr>
          <w:i/>
          <w:iCs/>
        </w:rPr>
        <w:t xml:space="preserve">Mergers &amp; Acquisitions:</w:t>
      </w:r>
      <w:r>
        <w:t xml:space="preserve"> </w:t>
      </w:r>
      <w:r>
        <w:t xml:space="preserve">Deploying substantial capital abroad (Zava, Medici, and Eucalyptus) and in proprietary diagnostics (YourBio).</w:t>
      </w:r>
    </w:p>
    <w:p>
      <w:pPr>
        <w:pStyle w:val="Compact"/>
        <w:numPr>
          <w:ilvl w:val="1"/>
          <w:numId w:val="1037"/>
        </w:numPr>
      </w:pPr>
      <w:r>
        <w:rPr>
          <w:i/>
          <w:iCs/>
        </w:rPr>
        <w:t xml:space="preserve">Capital Return:</w:t>
      </w:r>
      <w:r>
        <w:t xml:space="preserve"> </w:t>
      </w:r>
      <w:r>
        <w:t xml:space="preserve">No dividend has been initiated, and operating cash generation is prioritized for reinvestment in platform scalability and M&amp;A deferred liabilities.</w:t>
      </w:r>
    </w:p>
    <w:p>
      <w:r>
        <w:pict>
          <v:rect style="width:0;height:1.5pt" o:hralign="center" o:hrstd="t" o:hr="t"/>
        </w:pict>
      </w:r>
    </w:p>
    <w:bookmarkEnd w:id="27"/>
    <w:bookmarkStart w:id="28" w:name="recent-material-events"/>
    <w:p>
      <w:pPr>
        <w:pStyle w:val="Heading3"/>
      </w:pPr>
      <w:r>
        <w:t xml:space="preserve">7. Recent Material Events</w:t>
      </w:r>
    </w:p>
    <w:p>
      <w:pPr>
        <w:pStyle w:val="Compact"/>
        <w:numPr>
          <w:ilvl w:val="0"/>
          <w:numId w:val="1038"/>
        </w:numPr>
      </w:pPr>
      <w:r>
        <w:rPr>
          <w:b/>
          <w:bCs/>
        </w:rPr>
        <w:t xml:space="preserve">August 10, 2026 (Form 8-K, Item 2.02):</w:t>
      </w:r>
      <w:r>
        <w:t xml:space="preserve"> </w:t>
      </w:r>
      <w:r>
        <w:t xml:space="preserve">Reported Q2 2026 operational and financial results, highlighting 38% revenue growth, international expansion, and the impact of non-recurring legal contingencies and restructuring charges.</w:t>
      </w:r>
    </w:p>
    <w:p>
      <w:pPr>
        <w:pStyle w:val="Compact"/>
        <w:numPr>
          <w:ilvl w:val="0"/>
          <w:numId w:val="1038"/>
        </w:numPr>
      </w:pPr>
      <w:r>
        <w:rPr>
          <w:b/>
          <w:bCs/>
        </w:rPr>
        <w:t xml:space="preserve">July 17, 2026 (Form 8-K, Item 5.02):</w:t>
      </w:r>
      <w:r>
        <w:t xml:space="preserve"> </w:t>
      </w:r>
      <w:r>
        <w:t xml:space="preserve">Reported leadership and compensation updates following annual executive and board reviews.</w:t>
      </w:r>
    </w:p>
    <w:p>
      <w:pPr>
        <w:pStyle w:val="Compact"/>
        <w:numPr>
          <w:ilvl w:val="0"/>
          <w:numId w:val="1038"/>
        </w:numPr>
      </w:pPr>
      <w:r>
        <w:rPr>
          <w:b/>
          <w:bCs/>
        </w:rPr>
        <w:t xml:space="preserve">June 26 / July 1, 2026 &amp; May 2026 (Forms 8-K, Items 1.01, 2.03, 3.02):</w:t>
      </w:r>
      <w:r>
        <w:t xml:space="preserve"> </w:t>
      </w:r>
      <w:r>
        <w:t xml:space="preserve">Entered into new material credit and debt obligations to bolster liquidity and finance ongoing deferred acquisition liabilities.</w:t>
      </w:r>
    </w:p>
    <w:p>
      <w:pPr>
        <w:pStyle w:val="Compact"/>
        <w:numPr>
          <w:ilvl w:val="0"/>
          <w:numId w:val="1038"/>
        </w:numPr>
      </w:pPr>
      <w:r>
        <w:rPr>
          <w:b/>
          <w:bCs/>
        </w:rPr>
        <w:t xml:space="preserve">June 2026 (Closing of Eucalyptus Acquisition):</w:t>
      </w:r>
      <w:r>
        <w:t xml:space="preserve"> </w:t>
      </w:r>
      <w:r>
        <w:t xml:space="preserve">Completed the acquisition of Australia-based Eucalyptus (originally announced in February 2026) for up to $1.15B in total consideration ($240M upfront cash, $710M deferred over 18 months, and up to $200M earn-out).</w:t>
      </w:r>
    </w:p>
    <w:p>
      <w:pPr>
        <w:pStyle w:val="Compact"/>
        <w:numPr>
          <w:ilvl w:val="0"/>
          <w:numId w:val="1038"/>
        </w:numPr>
      </w:pPr>
      <w:r>
        <w:rPr>
          <w:b/>
          <w:bCs/>
        </w:rPr>
        <w:t xml:space="preserve">February 2026 Regulatory Actions:</w:t>
      </w:r>
      <w:r>
        <w:t xml:space="preserve"> </w:t>
      </w:r>
      <w:r>
        <w:t xml:space="preserve">Disclosure of the FDA statement restricting active pharmaceutical ingredients in mass-market compounded GLP-1s (naming HIMS) and HHS referral to the DOJ.</w:t>
      </w:r>
    </w:p>
    <w:p>
      <w:r>
        <w:pict>
          <v:rect style="width:0;height:1.5pt" o:hralign="center" o:hrstd="t" o:hr="t"/>
        </w:pict>
      </w:r>
    </w:p>
    <w:bookmarkEnd w:id="28"/>
    <w:bookmarkStart w:id="29" w:name="sources"/>
    <w:p>
      <w:pPr>
        <w:pStyle w:val="Heading3"/>
      </w:pPr>
      <w:r>
        <w:t xml:space="preserve">8. Sources</w:t>
      </w:r>
    </w:p>
    <w:p>
      <w:pPr>
        <w:pStyle w:val="Compact"/>
        <w:numPr>
          <w:ilvl w:val="0"/>
          <w:numId w:val="1039"/>
        </w:numPr>
      </w:pPr>
      <w:r>
        <w:rPr>
          <w:b/>
          <w:bCs/>
        </w:rPr>
        <w:t xml:space="preserve">Form 10-Q (Period ended June 30, 2026; Filed August 10, 2026):</w:t>
      </w:r>
      <w:r>
        <w:br/>
      </w:r>
      <w:r>
        <w:rPr>
          <w:rStyle w:val="VerbatimChar"/>
        </w:rPr>
        <w:t xml:space="preserve">https://www.sec.gov/Archives/edgar/data/1773751/000177375126000163/hims-20260630.htm</w:t>
      </w:r>
    </w:p>
    <w:p>
      <w:pPr>
        <w:pStyle w:val="Compact"/>
        <w:numPr>
          <w:ilvl w:val="0"/>
          <w:numId w:val="1039"/>
        </w:numPr>
      </w:pPr>
      <w:r>
        <w:rPr>
          <w:b/>
          <w:bCs/>
        </w:rPr>
        <w:t xml:space="preserve">Form 8-K (Earnings Release; Filed August 10, 2026):</w:t>
      </w:r>
      <w:r>
        <w:br/>
      </w:r>
      <w:r>
        <w:rPr>
          <w:rStyle w:val="VerbatimChar"/>
        </w:rPr>
        <w:t xml:space="preserve">https://www.sec.gov/Archives/edgar/data/1773751/000177375126000161/hims-20260810.htm</w:t>
      </w:r>
    </w:p>
    <w:p>
      <w:pPr>
        <w:pStyle w:val="Compact"/>
        <w:numPr>
          <w:ilvl w:val="0"/>
          <w:numId w:val="1039"/>
        </w:numPr>
      </w:pPr>
      <w:r>
        <w:rPr>
          <w:b/>
          <w:bCs/>
        </w:rPr>
        <w:t xml:space="preserve">Form 8-K (Material Debt Agreements; Filed July 1, 2026):</w:t>
      </w:r>
      <w:r>
        <w:br/>
      </w:r>
      <w:r>
        <w:rPr>
          <w:rStyle w:val="VerbatimChar"/>
        </w:rPr>
        <w:t xml:space="preserve">https://www.sec.gov/Archives/edgar/data/1773751/000177375126000146/hims-20260626.htm</w:t>
      </w:r>
    </w:p>
    <w:p>
      <w:pPr>
        <w:pStyle w:val="Compact"/>
        <w:numPr>
          <w:ilvl w:val="0"/>
          <w:numId w:val="1039"/>
        </w:numPr>
      </w:pPr>
      <w:r>
        <w:rPr>
          <w:b/>
          <w:bCs/>
        </w:rPr>
        <w:t xml:space="preserve">Form 8-K (Executive Changes; Filed July 17, 2026):</w:t>
      </w:r>
      <w:r>
        <w:br/>
      </w:r>
      <w:r>
        <w:rPr>
          <w:rStyle w:val="VerbatimChar"/>
        </w:rPr>
        <w:t xml:space="preserve">https://www.sec.gov/Archives/edgar/data/1773751/000177375126000149/hims-20260713.htm</w:t>
      </w:r>
    </w:p>
    <w:p>
      <w:pPr>
        <w:pStyle w:val="Compact"/>
        <w:numPr>
          <w:ilvl w:val="0"/>
          <w:numId w:val="1039"/>
        </w:numPr>
      </w:pPr>
      <w:r>
        <w:rPr>
          <w:b/>
          <w:bCs/>
        </w:rPr>
        <w:t xml:space="preserve">Form 8-K (Debt Obligations / Material Agreements; Filed June 2, 2026):</w:t>
      </w:r>
      <w:r>
        <w:br/>
      </w:r>
      <w:r>
        <w:rPr>
          <w:rStyle w:val="VerbatimChar"/>
        </w:rPr>
        <w:t xml:space="preserve">https://www.sec.gov/Archives/edgar/data/1773751/000177375126000091/hims-20260529.htm</w:t>
      </w:r>
    </w:p>
    <w:p>
      <w:pPr>
        <w:pStyle w:val="Compact"/>
        <w:numPr>
          <w:ilvl w:val="0"/>
          <w:numId w:val="1039"/>
        </w:numPr>
      </w:pPr>
      <w:r>
        <w:rPr>
          <w:b/>
          <w:bCs/>
        </w:rPr>
        <w:t xml:space="preserve">Form 10-K (Fiscal Year ended December 31, 2025; Filed February 23, 2026):</w:t>
      </w:r>
      <w:r>
        <w:br/>
      </w:r>
      <w:r>
        <w:rPr>
          <w:rStyle w:val="VerbatimChar"/>
        </w:rPr>
        <w:t xml:space="preserve">https://www.sec.gov/Archives/edgar/data/1773751/000177375126000022/hims-20251231.htm</w:t>
      </w:r>
    </w:p>
    <w:p>
      <w:pPr>
        <w:pStyle w:val="Compact"/>
        <w:numPr>
          <w:ilvl w:val="0"/>
          <w:numId w:val="1039"/>
        </w:numPr>
      </w:pPr>
      <w:r>
        <w:rPr>
          <w:b/>
          <w:bCs/>
        </w:rPr>
        <w:t xml:space="preserve">SEC XBRL Financial Data API (CIK 0001773751):</w:t>
      </w:r>
      <w:r>
        <w:br/>
      </w:r>
      <w:r>
        <w:rPr>
          <w:rStyle w:val="VerbatimChar"/>
        </w:rPr>
        <w:t xml:space="preserve">https://data.sec.gov/api/xbrl/companyfacts/CIK0001773751.json</w:t>
      </w:r>
    </w:p>
    <w:p>
      <w:r>
        <w:br w:type="page"/>
      </w:r>
    </w:p>
    <w:bookmarkEnd w:id="29"/>
    <w:bookmarkEnd w:id="30"/>
    <w:bookmarkStart w:id="39" w:name="Xd5a26c46ed0debe8cc125cbfdd0b9157f86dd97"/>
    <w:p>
      <w:pPr>
        <w:pStyle w:val="Heading1"/>
      </w:pPr>
      <w:r>
        <w:t xml:space="preserve">Appendix B: Market &amp; Valuation Analysis (Gemini market analyst, Google Search)</w:t>
      </w:r>
    </w:p>
    <w:p>
      <w:pPr>
        <w:pStyle w:val="FirstParagraph"/>
      </w:pPr>
      <w:r>
        <w:rPr>
          <w:b/>
          <w:bCs/>
        </w:rPr>
        <w:t xml:space="preserve">Market Analysis Report for: HIMS (Hims &amp; Hers Health, Inc.)</w:t>
      </w:r>
    </w:p>
    <w:p>
      <w:pPr>
        <w:pStyle w:val="BodyText"/>
      </w:pPr>
      <w:r>
        <w:rPr>
          <w:b/>
          <w:bCs/>
        </w:rPr>
        <w:t xml:space="preserve">Report Date:</w:t>
      </w:r>
      <w:r>
        <w:t xml:space="preserve"> </w:t>
      </w:r>
      <w:r>
        <w:t xml:space="preserve">September 29, 2026</w:t>
      </w:r>
      <w:r>
        <w:br/>
      </w:r>
      <w:r>
        <w:rPr>
          <w:b/>
          <w:bCs/>
        </w:rPr>
        <w:t xml:space="preserve">Information Freshness Target:</w:t>
      </w:r>
      <w:r>
        <w:t xml:space="preserve"> </w:t>
      </w:r>
      <w:r>
        <w:t xml:space="preserve">Data primarily from the last 30 days (late August – September 2026)</w:t>
      </w:r>
      <w:r>
        <w:br/>
      </w:r>
      <w:r>
        <w:rPr>
          <w:b/>
          <w:bCs/>
        </w:rPr>
        <w:t xml:space="preserve">Number of Unique Primary Sources Consulted:</w:t>
      </w:r>
      <w:r>
        <w:t xml:space="preserve"> </w:t>
      </w:r>
      <w:r>
        <w:t xml:space="preserve">9</w:t>
      </w:r>
    </w:p>
    <w:p>
      <w:r>
        <w:pict>
          <v:rect style="width:0;height:1.5pt" o:hralign="center" o:hrstd="t" o:hr="t"/>
        </w:pict>
      </w:r>
    </w:p>
    <w:bookmarkStart w:id="31" w:name="executive-summary"/>
    <w:p>
      <w:pPr>
        <w:pStyle w:val="Heading3"/>
      </w:pPr>
      <w:r>
        <w:t xml:space="preserve">1. Executive Summary</w:t>
      </w:r>
    </w:p>
    <w:p>
      <w:pPr>
        <w:pStyle w:val="Compact"/>
        <w:numPr>
          <w:ilvl w:val="0"/>
          <w:numId w:val="1040"/>
        </w:numPr>
      </w:pPr>
      <w:r>
        <w:rPr>
          <w:b/>
          <w:bCs/>
        </w:rPr>
        <w:t xml:space="preserve">Top-Line Momentum vs. Profitability Squeeze:</w:t>
      </w:r>
      <w:r>
        <w:t xml:space="preserve"> </w:t>
      </w:r>
      <w:r>
        <w:t xml:space="preserve">HIMS delivered accelerated top-line expansion in its latest quarter, posting $753.2 million in Q2 2026 revenue (+38.2% YoY) and raising full-year 2026 guidance to $3.1–$3.3 billion. However, rapid international scaling, higher operating expenses, and shifts in product mix caused gross margins to contract sharply from 76% to 64%, resulting in a GAAP net loss of $86.3 million.</w:t>
      </w:r>
    </w:p>
    <w:p>
      <w:pPr>
        <w:pStyle w:val="Compact"/>
        <w:numPr>
          <w:ilvl w:val="0"/>
          <w:numId w:val="1040"/>
        </w:numPr>
      </w:pPr>
      <w:r>
        <w:rPr>
          <w:b/>
          <w:bCs/>
        </w:rPr>
        <w:t xml:space="preserve">Aggressive Global M&amp;A Integration:</w:t>
      </w:r>
      <w:r>
        <w:t xml:space="preserve"> </w:t>
      </w:r>
      <w:r>
        <w:t xml:space="preserve">Following the acquisition of Eucalyptus, Hims officially launched its brand in Australia in early September 2026 by transitioning Eucalyptus’ men’s platform (Pilot) to Hims Australia. International revenue expanded more than 17-fold YoY to $131.4 million in Q2, positioning APAC and Europe as central pillars toward management’s goal of $1 billion in international revenue.</w:t>
      </w:r>
    </w:p>
    <w:p>
      <w:pPr>
        <w:pStyle w:val="Compact"/>
        <w:numPr>
          <w:ilvl w:val="0"/>
          <w:numId w:val="1040"/>
        </w:numPr>
      </w:pPr>
      <w:r>
        <w:rPr>
          <w:b/>
          <w:bCs/>
        </w:rPr>
        <w:t xml:space="preserve">Regulatory &amp; Legal Overhangs:</w:t>
      </w:r>
      <w:r>
        <w:t xml:space="preserve"> </w:t>
      </w:r>
      <w:r>
        <w:t xml:space="preserve">The Federal Trade Commission (FTC), alongside state co-plaintiffs, filed a sweeping federal complaint against HIMS on July 29, 2026, alleging unlawful medical data sharing with advertising platforms and deceptive subscription practices. This has triggered follow-on securities class action lawsuits throughout September 2026 and weighed on institutional sentiment.</w:t>
      </w:r>
    </w:p>
    <w:p>
      <w:pPr>
        <w:pStyle w:val="Compact"/>
        <w:numPr>
          <w:ilvl w:val="0"/>
          <w:numId w:val="1040"/>
        </w:numPr>
      </w:pPr>
      <w:r>
        <w:rPr>
          <w:b/>
          <w:bCs/>
        </w:rPr>
        <w:t xml:space="preserve">Long-Term Investment Outlook:</w:t>
      </w:r>
      <w:r>
        <w:t xml:space="preserve"> </w:t>
      </w:r>
      <w:r>
        <w:t xml:space="preserve">Long-term fundamentals are supported by rapid subscriber expansion (2.89 million, +19% YoY) and rising monthly average revenue per user ($92, +21% YoY). Nevertheless, the transition from high-margin compounded treatments to branded GLP-1 partnerships and mounting compliance costs present ongoing headwinds to near-term operating leverage. Wall Street maintains a consensus</w:t>
      </w:r>
      <w:r>
        <w:t xml:space="preserve"> </w:t>
      </w:r>
      <w:r>
        <w:t xml:space="preserve">“Hold”</w:t>
      </w:r>
      <w:r>
        <w:t xml:space="preserve"> </w:t>
      </w:r>
      <w:r>
        <w:t xml:space="preserve">rating with an average 12-month target of $32.43 (~12.5% upside).</w:t>
      </w:r>
    </w:p>
    <w:p>
      <w:r>
        <w:pict>
          <v:rect style="width:0;height:1.5pt" o:hralign="center" o:hrstd="t" o:hr="t"/>
        </w:pict>
      </w:r>
    </w:p>
    <w:bookmarkEnd w:id="31"/>
    <w:bookmarkStart w:id="32" w:name="price-valuation-snapshot"/>
    <w:p>
      <w:pPr>
        <w:pStyle w:val="Heading3"/>
      </w:pPr>
      <w:r>
        <w:t xml:space="preserve">2. Price &amp; Valuation Snapshot</w:t>
      </w:r>
    </w:p>
    <w:p>
      <w:pPr>
        <w:pStyle w:val="Compact"/>
        <w:numPr>
          <w:ilvl w:val="0"/>
          <w:numId w:val="1041"/>
        </w:numPr>
      </w:pPr>
      <w:r>
        <w:rPr>
          <w:b/>
          <w:bCs/>
        </w:rPr>
        <w:t xml:space="preserve">Current Share Price:</w:t>
      </w:r>
      <w:r>
        <w:t xml:space="preserve"> </w:t>
      </w:r>
      <w:r>
        <w:t xml:space="preserve">$28.72 – $28.87 (As of September 28–29, 2026; Sources: MarketBeat, HeyGoTrade).</w:t>
      </w:r>
    </w:p>
    <w:p>
      <w:pPr>
        <w:pStyle w:val="Compact"/>
        <w:numPr>
          <w:ilvl w:val="0"/>
          <w:numId w:val="1041"/>
        </w:numPr>
      </w:pPr>
      <w:r>
        <w:rPr>
          <w:b/>
          <w:bCs/>
        </w:rPr>
        <w:t xml:space="preserve">52-Week Range:</w:t>
      </w:r>
      <w:r>
        <w:t xml:space="preserve"> </w:t>
      </w:r>
      <w:r>
        <w:t xml:space="preserve">$13.74 – $65.30.</w:t>
      </w:r>
    </w:p>
    <w:p>
      <w:pPr>
        <w:pStyle w:val="Compact"/>
        <w:numPr>
          <w:ilvl w:val="0"/>
          <w:numId w:val="1041"/>
        </w:numPr>
      </w:pPr>
      <w:r>
        <w:rPr>
          <w:b/>
          <w:bCs/>
        </w:rPr>
        <w:t xml:space="preserve">Market Capitalization:</w:t>
      </w:r>
      <w:r>
        <w:t xml:space="preserve"> </w:t>
      </w:r>
      <w:r>
        <w:t xml:space="preserve">Approximately $6.86 Billion.</w:t>
      </w:r>
    </w:p>
    <w:p>
      <w:pPr>
        <w:pStyle w:val="Compact"/>
        <w:numPr>
          <w:ilvl w:val="0"/>
          <w:numId w:val="1041"/>
        </w:numPr>
      </w:pPr>
      <w:r>
        <w:rPr>
          <w:b/>
          <w:bCs/>
        </w:rPr>
        <w:t xml:space="preserve">Trailing P/E Ratio:</w:t>
      </w:r>
      <w:r>
        <w:t xml:space="preserve"> </w:t>
      </w:r>
      <w:r>
        <w:t xml:space="preserve">Negative / At Loss (reported at -45.8x to -48.3x TTM; diluted EPS TTM of -$0.62) due to recent GAAP quarterly losses from one-off acquisition charges, restructuring, and legal contingencies.</w:t>
      </w:r>
    </w:p>
    <w:p>
      <w:pPr>
        <w:pStyle w:val="Compact"/>
        <w:numPr>
          <w:ilvl w:val="0"/>
          <w:numId w:val="1041"/>
        </w:numPr>
      </w:pPr>
      <w:r>
        <w:rPr>
          <w:b/>
          <w:bCs/>
        </w:rPr>
        <w:t xml:space="preserve">Forward P/E Ratio:</w:t>
      </w:r>
      <w:r>
        <w:t xml:space="preserve"> </w:t>
      </w:r>
      <w:r>
        <w:t xml:space="preserve">Projected at approximately 65x based on FY2027 estimated EPS turnaround to $0.44 (following expected FY2026 loss per share of -$0.16).</w:t>
      </w:r>
    </w:p>
    <w:p>
      <w:pPr>
        <w:pStyle w:val="Compact"/>
        <w:numPr>
          <w:ilvl w:val="0"/>
          <w:numId w:val="1041"/>
        </w:numPr>
      </w:pPr>
      <w:r>
        <w:rPr>
          <w:b/>
          <w:bCs/>
        </w:rPr>
        <w:t xml:space="preserve">Price-to-Sales (Forward):</w:t>
      </w:r>
      <w:r>
        <w:t xml:space="preserve"> </w:t>
      </w:r>
      <w:r>
        <w:t xml:space="preserve">Approximately 2.1x – 2.2x based on guided FY2026 sales of $3.1–$3.3 billion.</w:t>
      </w:r>
    </w:p>
    <w:p>
      <w:pPr>
        <w:pStyle w:val="Compact"/>
        <w:numPr>
          <w:ilvl w:val="0"/>
          <w:numId w:val="1041"/>
        </w:numPr>
      </w:pPr>
      <w:r>
        <w:rPr>
          <w:b/>
          <w:bCs/>
        </w:rPr>
        <w:t xml:space="preserve">Dividend Yield:</w:t>
      </w:r>
      <w:r>
        <w:t xml:space="preserve"> </w:t>
      </w:r>
      <w:r>
        <w:t xml:space="preserve">0.00% (No regular dividend is paid).</w:t>
      </w:r>
    </w:p>
    <w:p>
      <w:pPr>
        <w:pStyle w:val="FirstParagraph"/>
      </w:pPr>
      <w:r>
        <w:rPr>
          <w:b/>
          <w:bCs/>
        </w:rPr>
        <w:t xml:space="preserve">Valuation Context vs. History &amp; Peers:</w:t>
      </w:r>
      <w:r>
        <w:t xml:space="preserve"> </w:t>
      </w:r>
      <w:r>
        <w:t xml:space="preserve">*</w:t>
      </w:r>
      <w:r>
        <w:t xml:space="preserve"> </w:t>
      </w:r>
      <w:r>
        <w:rPr>
          <w:b/>
          <w:bCs/>
        </w:rPr>
        <w:t xml:space="preserve">Historical Context:</w:t>
      </w:r>
      <w:r>
        <w:t xml:space="preserve"> </w:t>
      </w:r>
      <w:r>
        <w:t xml:space="preserve">Prior to 2026, HIMS traded at positive P/E multiples (57.0x at year-end 2025) and commanded premium EV/Sales multiples above 3.1x. The compression in forward P/S to ~2.1x reflects market skepticism over gross margin sustainability (down from historical peaks of 76%–82% to 64%) and legal friction.</w:t>
      </w:r>
      <w:r>
        <w:t xml:space="preserve"> </w:t>
      </w:r>
      <w:r>
        <w:t xml:space="preserve">*</w:t>
      </w:r>
      <w:r>
        <w:t xml:space="preserve"> </w:t>
      </w:r>
      <w:r>
        <w:rPr>
          <w:b/>
          <w:bCs/>
        </w:rPr>
        <w:t xml:space="preserve">Peer Comparison:</w:t>
      </w:r>
      <w:r>
        <w:t xml:space="preserve"> </w:t>
      </w:r>
      <w:r>
        <w:t xml:space="preserve">On a Price-to-Sales basis, HIMS trades at a discount to specialized digital health peers like Doximity (4.8x) and Tempus AI (4.7x), but at a valuation premium to legacy telehealth operations like Teladoc, reflecting HIMS’ superior subscriber growth and direct-to-consumer brand equity.</w:t>
      </w:r>
    </w:p>
    <w:p>
      <w:r>
        <w:pict>
          <v:rect style="width:0;height:1.5pt" o:hralign="center" o:hrstd="t" o:hr="t"/>
        </w:pict>
      </w:r>
    </w:p>
    <w:bookmarkEnd w:id="32"/>
    <w:bookmarkStart w:id="33" w:name="X9c3e8a9cb0195a452e91cb75574d11c98b4b7ee"/>
    <w:p>
      <w:pPr>
        <w:pStyle w:val="Heading3"/>
      </w:pPr>
      <w:r>
        <w:t xml:space="preserve">3. Recent News, Stock Performance Context &amp; Market Sentiment</w:t>
      </w:r>
    </w:p>
    <w:p>
      <w:pPr>
        <w:pStyle w:val="Compact"/>
        <w:numPr>
          <w:ilvl w:val="0"/>
          <w:numId w:val="1042"/>
        </w:numPr>
      </w:pPr>
      <w:r>
        <w:rPr>
          <w:b/>
          <w:bCs/>
        </w:rPr>
        <w:t xml:space="preserve">Significant News:</w:t>
      </w:r>
    </w:p>
    <w:p>
      <w:pPr>
        <w:pStyle w:val="Compact"/>
        <w:numPr>
          <w:ilvl w:val="1"/>
          <w:numId w:val="1043"/>
        </w:numPr>
      </w:pPr>
      <w:r>
        <w:rPr>
          <w:i/>
          <w:iCs/>
        </w:rPr>
        <w:t xml:space="preserve">Australia Expansion &amp; Eucalyptus Rebranding:</w:t>
      </w:r>
      <w:r>
        <w:t xml:space="preserve"> </w:t>
      </w:r>
      <w:r>
        <w:t xml:space="preserve">In early September 2026, HIMS initiated its expansion into the Asia-Pacific region by rebranding Eucalyptus’ Australian men’s health platform</w:t>
      </w:r>
      <w:r>
        <w:t xml:space="preserve"> </w:t>
      </w:r>
      <w:r>
        <w:t xml:space="preserve">“Pilot”</w:t>
      </w:r>
      <w:r>
        <w:t xml:space="preserve"> </w:t>
      </w:r>
      <w:r>
        <w:t xml:space="preserve">to</w:t>
      </w:r>
      <w:r>
        <w:t xml:space="preserve"> </w:t>
      </w:r>
      <w:r>
        <w:t xml:space="preserve">“Hims Australia,”</w:t>
      </w:r>
      <w:r>
        <w:t xml:space="preserve"> </w:t>
      </w:r>
      <w:r>
        <w:t xml:space="preserve">led by former Eucalyptus founder Tim Doyle.</w:t>
      </w:r>
    </w:p>
    <w:p>
      <w:pPr>
        <w:pStyle w:val="Compact"/>
        <w:numPr>
          <w:ilvl w:val="1"/>
          <w:numId w:val="1043"/>
        </w:numPr>
      </w:pPr>
      <w:r>
        <w:rPr>
          <w:i/>
          <w:iCs/>
        </w:rPr>
        <w:t xml:space="preserve">FTC Complaint &amp; Class Action Litigation:</w:t>
      </w:r>
      <w:r>
        <w:t xml:space="preserve"> </w:t>
      </w:r>
      <w:r>
        <w:t xml:space="preserve">Follow-on securities fraud class action lawsuits were announced in late September 2026 (lead plaintiff deadline: November 2, 2026), stemming from the FTC’s July 29 complaint regarding consumer data privacy and marketing practices.</w:t>
      </w:r>
    </w:p>
    <w:p>
      <w:pPr>
        <w:pStyle w:val="Compact"/>
        <w:numPr>
          <w:ilvl w:val="1"/>
          <w:numId w:val="1043"/>
        </w:numPr>
      </w:pPr>
      <w:r>
        <w:rPr>
          <w:i/>
          <w:iCs/>
        </w:rPr>
        <w:t xml:space="preserve">AI-Native Platform Launches:</w:t>
      </w:r>
      <w:r>
        <w:t xml:space="preserve"> </w:t>
      </w:r>
      <w:r>
        <w:t xml:space="preserve">In September 2026, the company introduced an AI-native weight loss platform with closed-loop clinical integration, alongside a redesigned Hers app, designed to streamline patient intake and clinical decision-making.</w:t>
      </w:r>
    </w:p>
    <w:p>
      <w:pPr>
        <w:pStyle w:val="Compact"/>
        <w:numPr>
          <w:ilvl w:val="0"/>
          <w:numId w:val="1042"/>
        </w:numPr>
      </w:pPr>
      <w:r>
        <w:rPr>
          <w:b/>
          <w:bCs/>
        </w:rPr>
        <w:t xml:space="preserve">Stock Performance Context:</w:t>
      </w:r>
      <w:r>
        <w:t xml:space="preserve"> </w:t>
      </w:r>
      <w:r>
        <w:t xml:space="preserve">The stock has experienced significant volatility over the past quarter. After plunging ~14.7% to $25.00 on July 29 following the initial FTC announcement, shares recovered to the high-$20s following the August revenue guidance raise, before consolidating between $28.00 and $30.00 in late September. Short interest remains elevated at 25.7% of the float (days-to-cover: 6.13).</w:t>
      </w:r>
    </w:p>
    <w:p>
      <w:pPr>
        <w:pStyle w:val="Compact"/>
        <w:numPr>
          <w:ilvl w:val="0"/>
          <w:numId w:val="1042"/>
        </w:numPr>
      </w:pPr>
      <w:r>
        <w:rPr>
          <w:b/>
          <w:bCs/>
        </w:rPr>
        <w:t xml:space="preserve">Market Sentiment:</w:t>
      </w:r>
      <w:r>
        <w:t xml:space="preserve"> </w:t>
      </w:r>
      <w:r>
        <w:rPr>
          <w:b/>
          <w:bCs/>
        </w:rPr>
        <w:t xml:space="preserve">Neutral to Cautious.</w:t>
      </w:r>
      <w:r>
        <w:t xml:space="preserve"> </w:t>
      </w:r>
      <w:r>
        <w:t xml:space="preserve">While market participants acknowledge Hims’ growth and scale (2.89 million subscribers), persistent legal battles, margin dilution from branded GLP-1s, and insider sales ($3.73M sold with zero purchases over the past 90 days) continue to limit multiple expansion.</w:t>
      </w:r>
    </w:p>
    <w:p>
      <w:r>
        <w:pict>
          <v:rect style="width:0;height:1.5pt" o:hralign="center" o:hrstd="t" o:hr="t"/>
        </w:pict>
      </w:r>
    </w:p>
    <w:bookmarkEnd w:id="33"/>
    <w:bookmarkStart w:id="34" w:name="recent-analyst-commentary-outlook"/>
    <w:p>
      <w:pPr>
        <w:pStyle w:val="Heading3"/>
      </w:pPr>
      <w:r>
        <w:t xml:space="preserve">4. Recent Analyst Commentary &amp; Outlook</w:t>
      </w:r>
    </w:p>
    <w:p>
      <w:pPr>
        <w:pStyle w:val="Compact"/>
        <w:numPr>
          <w:ilvl w:val="0"/>
          <w:numId w:val="1044"/>
        </w:numPr>
      </w:pPr>
      <w:r>
        <w:rPr>
          <w:b/>
          <w:bCs/>
        </w:rPr>
        <w:t xml:space="preserve">Consensus Rating:</w:t>
      </w:r>
      <w:r>
        <w:t xml:space="preserve"> </w:t>
      </w:r>
      <w:r>
        <w:rPr>
          <w:b/>
          <w:bCs/>
        </w:rPr>
        <w:t xml:space="preserve">Hold</w:t>
      </w:r>
      <w:r>
        <w:t xml:space="preserve"> </w:t>
      </w:r>
      <w:r>
        <w:t xml:space="preserve">(Score: 2.13/4.00 across 16 covering firms: 3 Buy, 12 Hold, 1 Sell).</w:t>
      </w:r>
    </w:p>
    <w:p>
      <w:pPr>
        <w:pStyle w:val="Compact"/>
        <w:numPr>
          <w:ilvl w:val="0"/>
          <w:numId w:val="1044"/>
        </w:numPr>
      </w:pPr>
      <w:r>
        <w:rPr>
          <w:b/>
          <w:bCs/>
        </w:rPr>
        <w:t xml:space="preserve">Price Target Distribution:</w:t>
      </w:r>
      <w:r>
        <w:t xml:space="preserve"> </w:t>
      </w:r>
      <w:r>
        <w:t xml:space="preserve">Consensus 12-month target sits at</w:t>
      </w:r>
      <w:r>
        <w:t xml:space="preserve"> </w:t>
      </w:r>
      <w:r>
        <w:rPr>
          <w:b/>
          <w:bCs/>
        </w:rPr>
        <w:t xml:space="preserve">$32.43</w:t>
      </w:r>
      <w:r>
        <w:t xml:space="preserve">, with a range between $23.00 (Low) and $42.00 (High).</w:t>
      </w:r>
    </w:p>
    <w:p>
      <w:pPr>
        <w:pStyle w:val="Compact"/>
        <w:numPr>
          <w:ilvl w:val="0"/>
          <w:numId w:val="1044"/>
        </w:numPr>
      </w:pPr>
      <w:r>
        <w:rPr>
          <w:b/>
          <w:bCs/>
        </w:rPr>
        <w:t xml:space="preserve">Recent Actions &amp; Rationales:</w:t>
      </w:r>
    </w:p>
    <w:p>
      <w:pPr>
        <w:pStyle w:val="Compact"/>
        <w:numPr>
          <w:ilvl w:val="1"/>
          <w:numId w:val="1045"/>
        </w:numPr>
      </w:pPr>
      <w:r>
        <w:rPr>
          <w:i/>
          <w:iCs/>
        </w:rPr>
        <w:t xml:space="preserve">JPMorgan (September 11, 2026):</w:t>
      </w:r>
      <w:r>
        <w:t xml:space="preserve"> </w:t>
      </w:r>
      <w:r>
        <w:t xml:space="preserve">Assumed coverage with a</w:t>
      </w:r>
      <w:r>
        <w:t xml:space="preserve"> </w:t>
      </w:r>
      <w:r>
        <w:rPr>
          <w:b/>
          <w:bCs/>
        </w:rPr>
        <w:t xml:space="preserve">Neutral</w:t>
      </w:r>
      <w:r>
        <w:t xml:space="preserve"> </w:t>
      </w:r>
      <w:r>
        <w:t xml:space="preserve">rating and a</w:t>
      </w:r>
      <w:r>
        <w:t xml:space="preserve"> </w:t>
      </w:r>
      <w:r>
        <w:rPr>
          <w:b/>
          <w:bCs/>
        </w:rPr>
        <w:t xml:space="preserve">$32.00</w:t>
      </w:r>
      <w:r>
        <w:t xml:space="preserve"> </w:t>
      </w:r>
      <w:r>
        <w:t xml:space="preserve">price target, noting a balanced risk/reward between international growth and domestic margin headwinds.</w:t>
      </w:r>
    </w:p>
    <w:p>
      <w:pPr>
        <w:pStyle w:val="Compact"/>
        <w:numPr>
          <w:ilvl w:val="1"/>
          <w:numId w:val="1045"/>
        </w:numPr>
      </w:pPr>
      <w:r>
        <w:rPr>
          <w:i/>
          <w:iCs/>
        </w:rPr>
        <w:t xml:space="preserve">TD Cowen (August 2026):</w:t>
      </w:r>
      <w:r>
        <w:t xml:space="preserve"> </w:t>
      </w:r>
      <w:r>
        <w:t xml:space="preserve">Maintained</w:t>
      </w:r>
      <w:r>
        <w:t xml:space="preserve"> </w:t>
      </w:r>
      <w:r>
        <w:rPr>
          <w:b/>
          <w:bCs/>
        </w:rPr>
        <w:t xml:space="preserve">Hold</w:t>
      </w:r>
      <w:r>
        <w:t xml:space="preserve">, raising target from $25.00 to</w:t>
      </w:r>
      <w:r>
        <w:t xml:space="preserve"> </w:t>
      </w:r>
      <w:r>
        <w:rPr>
          <w:b/>
          <w:bCs/>
        </w:rPr>
        <w:t xml:space="preserve">$30.00</w:t>
      </w:r>
      <w:r>
        <w:t xml:space="preserve"> </w:t>
      </w:r>
      <w:r>
        <w:t xml:space="preserve">post-earnings.</w:t>
      </w:r>
    </w:p>
    <w:p>
      <w:pPr>
        <w:pStyle w:val="Compact"/>
        <w:numPr>
          <w:ilvl w:val="1"/>
          <w:numId w:val="1045"/>
        </w:numPr>
      </w:pPr>
      <w:r>
        <w:rPr>
          <w:i/>
          <w:iCs/>
        </w:rPr>
        <w:t xml:space="preserve">Needham &amp; Company (August 2026):</w:t>
      </w:r>
      <w:r>
        <w:t xml:space="preserve"> </w:t>
      </w:r>
      <w:r>
        <w:t xml:space="preserve">Reiterated</w:t>
      </w:r>
      <w:r>
        <w:t xml:space="preserve"> </w:t>
      </w:r>
      <w:r>
        <w:rPr>
          <w:b/>
          <w:bCs/>
        </w:rPr>
        <w:t xml:space="preserve">Buy</w:t>
      </w:r>
      <w:r>
        <w:t xml:space="preserve">, increasing target from $35.00 to</w:t>
      </w:r>
      <w:r>
        <w:t xml:space="preserve"> </w:t>
      </w:r>
      <w:r>
        <w:rPr>
          <w:b/>
          <w:bCs/>
        </w:rPr>
        <w:t xml:space="preserve">$42.00</w:t>
      </w:r>
      <w:r>
        <w:t xml:space="preserve">, citing multi-product subscriber cross-selling and long-term potential for international margins.</w:t>
      </w:r>
    </w:p>
    <w:p>
      <w:pPr>
        <w:pStyle w:val="Compact"/>
        <w:numPr>
          <w:ilvl w:val="1"/>
          <w:numId w:val="1045"/>
        </w:numPr>
      </w:pPr>
      <w:r>
        <w:rPr>
          <w:i/>
          <w:iCs/>
        </w:rPr>
        <w:t xml:space="preserve">Analyst Summary:</w:t>
      </w:r>
      <w:r>
        <w:t xml:space="preserve"> </w:t>
      </w:r>
      <w:r>
        <w:t xml:space="preserve">Wall Street consensus anticipates full-year 2026 EPS of -$0.16 before a rebound to profitability in 2027. Analysts emphasize that sequential margin improvements (guided to 9%–11% Adj. EBITDA margin in H2 2026) are required to warrant price target upgrades.</w:t>
      </w:r>
    </w:p>
    <w:p>
      <w:r>
        <w:pict>
          <v:rect style="width:0;height:1.5pt" o:hralign="center" o:hrstd="t" o:hr="t"/>
        </w:pict>
      </w:r>
    </w:p>
    <w:bookmarkEnd w:id="34"/>
    <w:bookmarkStart w:id="37" w:name="Xdb5e28a0716f49df45e18c54895f5299af23212"/>
    <w:p>
      <w:pPr>
        <w:pStyle w:val="Heading3"/>
      </w:pPr>
      <w:r>
        <w:t xml:space="preserve">5. Key Risks &amp; Opportunities (Derived from Collected Data)</w:t>
      </w:r>
    </w:p>
    <w:bookmarkStart w:id="35" w:name="identified-risks"/>
    <w:p>
      <w:pPr>
        <w:pStyle w:val="Heading4"/>
      </w:pPr>
      <w:r>
        <w:t xml:space="preserve">Identified Risks</w:t>
      </w:r>
    </w:p>
    <w:p>
      <w:pPr>
        <w:pStyle w:val="Compact"/>
        <w:numPr>
          <w:ilvl w:val="0"/>
          <w:numId w:val="1046"/>
        </w:numPr>
      </w:pPr>
      <w:r>
        <w:rPr>
          <w:b/>
          <w:bCs/>
        </w:rPr>
        <w:t xml:space="preserve">Regulatory and Privacy Exposure:</w:t>
      </w:r>
      <w:r>
        <w:t xml:space="preserve"> </w:t>
      </w:r>
      <w:r>
        <w:t xml:space="preserve">The FTC lawsuit alleging unauthorized patient health data transmission to third-party ad networks (Meta, Snap) poses legal liability, potential fines, operational restrictions, and brand reputational damage.</w:t>
      </w:r>
    </w:p>
    <w:p>
      <w:pPr>
        <w:pStyle w:val="Compact"/>
        <w:numPr>
          <w:ilvl w:val="0"/>
          <w:numId w:val="1046"/>
        </w:numPr>
      </w:pPr>
      <w:r>
        <w:rPr>
          <w:b/>
          <w:bCs/>
        </w:rPr>
        <w:t xml:space="preserve">Gross Margin Deterioration:</w:t>
      </w:r>
      <w:r>
        <w:t xml:space="preserve"> </w:t>
      </w:r>
      <w:r>
        <w:t xml:space="preserve">Gross margin slipped to 63.8% in Q2 2026 (down 1,200+ bps YoY), driven by higher-cost branded GLP-1 distribution, lower-margin international revenue, and inventory write-downs.</w:t>
      </w:r>
    </w:p>
    <w:p>
      <w:pPr>
        <w:pStyle w:val="Compact"/>
        <w:numPr>
          <w:ilvl w:val="0"/>
          <w:numId w:val="1046"/>
        </w:numPr>
      </w:pPr>
      <w:r>
        <w:rPr>
          <w:b/>
          <w:bCs/>
        </w:rPr>
        <w:t xml:space="preserve">Heightened Short Exposure:</w:t>
      </w:r>
      <w:r>
        <w:t xml:space="preserve"> </w:t>
      </w:r>
      <w:r>
        <w:t xml:space="preserve">A short interest float exceeding 25.7% underscores widespread institutional skepticism regarding underlying unit economics and litigation liabilities.</w:t>
      </w:r>
    </w:p>
    <w:p>
      <w:pPr>
        <w:pStyle w:val="Compact"/>
        <w:numPr>
          <w:ilvl w:val="0"/>
          <w:numId w:val="1046"/>
        </w:numPr>
      </w:pPr>
      <w:r>
        <w:rPr>
          <w:b/>
          <w:bCs/>
        </w:rPr>
        <w:t xml:space="preserve">Integration and Execution Drag:</w:t>
      </w:r>
      <w:r>
        <w:t xml:space="preserve"> </w:t>
      </w:r>
      <w:r>
        <w:t xml:space="preserve">Operating expenses grew 48.4% YoY in Q2, including a 145.8% surge in G&amp;A expenses, highlighting friction related to the Eucalyptus acquisition.</w:t>
      </w:r>
    </w:p>
    <w:bookmarkEnd w:id="35"/>
    <w:bookmarkStart w:id="36" w:name="identified-opportunities"/>
    <w:p>
      <w:pPr>
        <w:pStyle w:val="Heading4"/>
      </w:pPr>
      <w:r>
        <w:t xml:space="preserve">Identified Opportunities</w:t>
      </w:r>
    </w:p>
    <w:p>
      <w:pPr>
        <w:pStyle w:val="Compact"/>
        <w:numPr>
          <w:ilvl w:val="0"/>
          <w:numId w:val="1047"/>
        </w:numPr>
      </w:pPr>
      <w:r>
        <w:rPr>
          <w:b/>
          <w:bCs/>
        </w:rPr>
        <w:t xml:space="preserve">Accelerating International Scale:</w:t>
      </w:r>
      <w:r>
        <w:t xml:space="preserve"> </w:t>
      </w:r>
      <w:r>
        <w:t xml:space="preserve">Rebranding Eucalyptus’ platform into Hims Australia provides a scalable gateway into the APAC digital healthcare market, supporting the target of $1 billion in annual international revenue within three years.</w:t>
      </w:r>
    </w:p>
    <w:p>
      <w:pPr>
        <w:pStyle w:val="Compact"/>
        <w:numPr>
          <w:ilvl w:val="0"/>
          <w:numId w:val="1047"/>
        </w:numPr>
      </w:pPr>
      <w:r>
        <w:rPr>
          <w:b/>
          <w:bCs/>
        </w:rPr>
        <w:t xml:space="preserve">Subscriber Monetization &amp; ARPU Growth:</w:t>
      </w:r>
      <w:r>
        <w:t xml:space="preserve"> </w:t>
      </w:r>
      <w:r>
        <w:t xml:space="preserve">Monthly revenue per average subscriber reached $92 (+21% YoY) alongside an expanding user base of nearly 2.9 million, indicating strong pricing power and successful basket bundling.</w:t>
      </w:r>
    </w:p>
    <w:p>
      <w:pPr>
        <w:pStyle w:val="Compact"/>
        <w:numPr>
          <w:ilvl w:val="0"/>
          <w:numId w:val="1047"/>
        </w:numPr>
      </w:pPr>
      <w:r>
        <w:rPr>
          <w:b/>
          <w:bCs/>
        </w:rPr>
        <w:t xml:space="preserve">AI-Driven Clinical Efficiencies:</w:t>
      </w:r>
      <w:r>
        <w:t xml:space="preserve"> </w:t>
      </w:r>
      <w:r>
        <w:t xml:space="preserve">Rollout of AI-native platforms across Hims and Hers is expected to reduce customer acquisition friction, automate intake, and lower long-term service delivery costs.</w:t>
      </w:r>
    </w:p>
    <w:p>
      <w:pPr>
        <w:pStyle w:val="Compact"/>
        <w:numPr>
          <w:ilvl w:val="0"/>
          <w:numId w:val="1047"/>
        </w:numPr>
      </w:pPr>
      <w:r>
        <w:rPr>
          <w:b/>
          <w:bCs/>
        </w:rPr>
        <w:t xml:space="preserve">Clear Long-Term Vision:</w:t>
      </w:r>
      <w:r>
        <w:t xml:space="preserve"> </w:t>
      </w:r>
      <w:r>
        <w:t xml:space="preserve">Reaffirmed long-term 2030 targets of at least $6.5 billion in revenue and $1.3 billion in Adjusted EBITDA provide a defined operational north star.</w:t>
      </w:r>
    </w:p>
    <w:p>
      <w:r>
        <w:pict>
          <v:rect style="width:0;height:1.5pt" o:hralign="center" o:hrstd="t" o:hr="t"/>
        </w:pict>
      </w:r>
    </w:p>
    <w:bookmarkEnd w:id="36"/>
    <w:bookmarkEnd w:id="37"/>
    <w:bookmarkStart w:id="38" w:name="key-reference-articles"/>
    <w:p>
      <w:pPr>
        <w:pStyle w:val="Heading3"/>
      </w:pPr>
      <w:r>
        <w:t xml:space="preserve">6. Key Reference Articles</w:t>
      </w:r>
    </w:p>
    <w:p>
      <w:pPr>
        <w:numPr>
          <w:ilvl w:val="0"/>
          <w:numId w:val="1048"/>
        </w:numPr>
      </w:pPr>
      <w:r>
        <w:rPr>
          <w:b/>
          <w:bCs/>
        </w:rPr>
        <w:t xml:space="preserve">Title:</w:t>
      </w:r>
      <w:r>
        <w:t xml:space="preserve"> </w:t>
      </w:r>
      <w:r>
        <w:t xml:space="preserve">Hims &amp; Hers Health, Inc. (NYSE:HIMS) Receives Average Recommendation of</w:t>
      </w:r>
      <w:r>
        <w:t xml:space="preserve"> </w:t>
      </w:r>
      <w:r>
        <w:t xml:space="preserve">“Hold”</w:t>
      </w:r>
      <w:r>
        <w:t xml:space="preserve"> </w:t>
      </w:r>
      <w:r>
        <w:t xml:space="preserve">from Brokerages</w:t>
      </w:r>
      <w:r>
        <w:br/>
      </w:r>
      <w:r>
        <w:rPr>
          <w:b/>
          <w:bCs/>
        </w:rPr>
        <w:t xml:space="preserve">URL:</w:t>
      </w:r>
      <w:r>
        <w:t xml:space="preserve"> </w:t>
      </w:r>
      <w:r>
        <w:rPr>
          <w:rStyle w:val="VerbatimChar"/>
        </w:rPr>
        <w:t xml:space="preserve">https://www.marketbeat.com/instant-alerts/nyse-hims-consensus-analyst-rating-2026-09-27/</w:t>
      </w:r>
      <w:r>
        <w:br/>
      </w:r>
      <w:r>
        <w:rPr>
          <w:b/>
          <w:bCs/>
        </w:rPr>
        <w:t xml:space="preserve">Source:</w:t>
      </w:r>
      <w:r>
        <w:t xml:space="preserve"> </w:t>
      </w:r>
      <w:r>
        <w:t xml:space="preserve">MarketBeat</w:t>
      </w:r>
      <w:r>
        <w:br/>
      </w:r>
      <w:r>
        <w:rPr>
          <w:b/>
          <w:bCs/>
        </w:rPr>
        <w:t xml:space="preserve">Author:</w:t>
      </w:r>
      <w:r>
        <w:t xml:space="preserve"> </w:t>
      </w:r>
      <w:r>
        <w:t xml:space="preserve">MarketBeat News Staff</w:t>
      </w:r>
      <w:r>
        <w:br/>
      </w:r>
      <w:r>
        <w:rPr>
          <w:b/>
          <w:bCs/>
        </w:rPr>
        <w:t xml:space="preserve">Date Published:</w:t>
      </w:r>
      <w:r>
        <w:t xml:space="preserve"> </w:t>
      </w:r>
      <w:r>
        <w:t xml:space="preserve">September 27, 2026</w:t>
      </w:r>
      <w:r>
        <w:br/>
      </w:r>
      <w:r>
        <w:rPr>
          <w:b/>
          <w:bCs/>
        </w:rPr>
        <w:t xml:space="preserve">Brief Relevance:</w:t>
      </w:r>
      <w:r>
        <w:t xml:space="preserve"> </w:t>
      </w:r>
      <w:r>
        <w:t xml:space="preserve">Outlines the Wall Street analyst consensus rating (Hold), target price ($32.43), earnings forecasts, and Q2 earnings miss context.</w:t>
      </w:r>
    </w:p>
    <w:p>
      <w:pPr>
        <w:numPr>
          <w:ilvl w:val="0"/>
          <w:numId w:val="1048"/>
        </w:numPr>
      </w:pPr>
      <w:r>
        <w:rPr>
          <w:b/>
          <w:bCs/>
        </w:rPr>
        <w:t xml:space="preserve">Title:</w:t>
      </w:r>
      <w:r>
        <w:t xml:space="preserve"> </w:t>
      </w:r>
      <w:r>
        <w:t xml:space="preserve">Hims &amp; Hers Health, Inc. Reports Second Quarter 2026 Financial Results</w:t>
      </w:r>
      <w:r>
        <w:br/>
      </w:r>
      <w:r>
        <w:rPr>
          <w:b/>
          <w:bCs/>
        </w:rPr>
        <w:t xml:space="preserve">URL:</w:t>
      </w:r>
      <w:r>
        <w:t xml:space="preserve"> </w:t>
      </w:r>
      <w:r>
        <w:rPr>
          <w:rStyle w:val="VerbatimChar"/>
        </w:rPr>
        <w:t xml:space="preserve">https://investors.hims.com/news/news-details/2026/Hims--Hers-Health-Inc-Reports-Second-Quarter-2026-Financial-Results/default.aspx</w:t>
      </w:r>
      <w:r>
        <w:br/>
      </w:r>
      <w:r>
        <w:rPr>
          <w:b/>
          <w:bCs/>
        </w:rPr>
        <w:t xml:space="preserve">Source:</w:t>
      </w:r>
      <w:r>
        <w:t xml:space="preserve"> </w:t>
      </w:r>
      <w:r>
        <w:t xml:space="preserve">Hims &amp; Hers Investor Relations</w:t>
      </w:r>
      <w:r>
        <w:br/>
      </w:r>
      <w:r>
        <w:rPr>
          <w:b/>
          <w:bCs/>
        </w:rPr>
        <w:t xml:space="preserve">Author:</w:t>
      </w:r>
      <w:r>
        <w:t xml:space="preserve"> </w:t>
      </w:r>
      <w:r>
        <w:t xml:space="preserve">Hims &amp; Hers Health, Inc.</w:t>
      </w:r>
      <w:r>
        <w:br/>
      </w:r>
      <w:r>
        <w:rPr>
          <w:b/>
          <w:bCs/>
        </w:rPr>
        <w:t xml:space="preserve">Date Published:</w:t>
      </w:r>
      <w:r>
        <w:t xml:space="preserve"> </w:t>
      </w:r>
      <w:r>
        <w:t xml:space="preserve">August 10, 2026</w:t>
      </w:r>
      <w:r>
        <w:br/>
      </w:r>
      <w:r>
        <w:rPr>
          <w:b/>
          <w:bCs/>
        </w:rPr>
        <w:t xml:space="preserve">Brief Relevance:</w:t>
      </w:r>
      <w:r>
        <w:t xml:space="preserve"> </w:t>
      </w:r>
      <w:r>
        <w:t xml:space="preserve">Primary source for Q2 2026 financial performance, revenue beat ($753.2M), full-year guidance raise ($3.1B–$3.3B), and 2030 targets.</w:t>
      </w:r>
    </w:p>
    <w:p>
      <w:pPr>
        <w:numPr>
          <w:ilvl w:val="0"/>
          <w:numId w:val="1048"/>
        </w:numPr>
      </w:pPr>
      <w:r>
        <w:rPr>
          <w:b/>
          <w:bCs/>
        </w:rPr>
        <w:t xml:space="preserve">Title:</w:t>
      </w:r>
      <w:r>
        <w:t xml:space="preserve"> </w:t>
      </w:r>
      <w:r>
        <w:t xml:space="preserve">HIMS Raises 2026 Revenue Outlook as Q2 Sales Rise 38.2% Despite Loss</w:t>
      </w:r>
      <w:r>
        <w:br/>
      </w:r>
      <w:r>
        <w:rPr>
          <w:b/>
          <w:bCs/>
        </w:rPr>
        <w:t xml:space="preserve">URL:</w:t>
      </w:r>
      <w:r>
        <w:t xml:space="preserve"> </w:t>
      </w:r>
      <w:r>
        <w:rPr>
          <w:rStyle w:val="VerbatimChar"/>
        </w:rPr>
        <w:t xml:space="preserve">https://www.zacks.com/stock/news/2330891/hims-raises-2026-revenue-outlook-as-q2-sales-rise-382-despite-loss</w:t>
      </w:r>
      <w:r>
        <w:br/>
      </w:r>
      <w:r>
        <w:rPr>
          <w:b/>
          <w:bCs/>
        </w:rPr>
        <w:t xml:space="preserve">Source:</w:t>
      </w:r>
      <w:r>
        <w:t xml:space="preserve"> </w:t>
      </w:r>
      <w:r>
        <w:t xml:space="preserve">Zacks Investment Research</w:t>
      </w:r>
      <w:r>
        <w:br/>
      </w:r>
      <w:r>
        <w:rPr>
          <w:b/>
          <w:bCs/>
        </w:rPr>
        <w:t xml:space="preserve">Author:</w:t>
      </w:r>
      <w:r>
        <w:t xml:space="preserve"> </w:t>
      </w:r>
      <w:r>
        <w:t xml:space="preserve">Zacks Equity Research</w:t>
      </w:r>
      <w:r>
        <w:br/>
      </w:r>
      <w:r>
        <w:rPr>
          <w:b/>
          <w:bCs/>
        </w:rPr>
        <w:t xml:space="preserve">Date Published:</w:t>
      </w:r>
      <w:r>
        <w:t xml:space="preserve"> </w:t>
      </w:r>
      <w:r>
        <w:t xml:space="preserve">September 2, 2026</w:t>
      </w:r>
      <w:r>
        <w:br/>
      </w:r>
      <w:r>
        <w:rPr>
          <w:b/>
          <w:bCs/>
        </w:rPr>
        <w:t xml:space="preserve">Brief Relevance:</w:t>
      </w:r>
      <w:r>
        <w:t xml:space="preserve"> </w:t>
      </w:r>
      <w:r>
        <w:t xml:space="preserve">Details the margin contraction mechanics, GAAP operating losses, and product shift toward branded weight loss drugs.</w:t>
      </w:r>
    </w:p>
    <w:p>
      <w:pPr>
        <w:numPr>
          <w:ilvl w:val="0"/>
          <w:numId w:val="1048"/>
        </w:numPr>
      </w:pPr>
      <w:r>
        <w:rPr>
          <w:b/>
          <w:bCs/>
        </w:rPr>
        <w:t xml:space="preserve">Title:</w:t>
      </w:r>
      <w:r>
        <w:t xml:space="preserve"> </w:t>
      </w:r>
      <w:r>
        <w:t xml:space="preserve">Hims &amp; Hers Enters APAC Market with Australia Launch Following Eucalyptus Acquisition</w:t>
      </w:r>
      <w:r>
        <w:br/>
      </w:r>
      <w:r>
        <w:rPr>
          <w:b/>
          <w:bCs/>
        </w:rPr>
        <w:t xml:space="preserve">URL:</w:t>
      </w:r>
      <w:r>
        <w:t xml:space="preserve"> </w:t>
      </w:r>
      <w:r>
        <w:rPr>
          <w:rStyle w:val="VerbatimChar"/>
        </w:rPr>
        <w:t xml:space="preserve">https://www.biopharmaapac.com/news/73/4523/hims-hers-enters-apac-market-with-australia-launch-following-eucalyptus-acquisition.html</w:t>
      </w:r>
      <w:r>
        <w:br/>
      </w:r>
      <w:r>
        <w:rPr>
          <w:b/>
          <w:bCs/>
        </w:rPr>
        <w:t xml:space="preserve">Source:</w:t>
      </w:r>
      <w:r>
        <w:t xml:space="preserve"> </w:t>
      </w:r>
      <w:r>
        <w:t xml:space="preserve">BioPharma APAC</w:t>
      </w:r>
      <w:r>
        <w:br/>
      </w:r>
      <w:r>
        <w:rPr>
          <w:b/>
          <w:bCs/>
        </w:rPr>
        <w:t xml:space="preserve">Author:</w:t>
      </w:r>
      <w:r>
        <w:t xml:space="preserve"> </w:t>
      </w:r>
      <w:r>
        <w:t xml:space="preserve">BioPharma APAC News Desk</w:t>
      </w:r>
      <w:r>
        <w:br/>
      </w:r>
      <w:r>
        <w:rPr>
          <w:b/>
          <w:bCs/>
        </w:rPr>
        <w:t xml:space="preserve">Date Published:</w:t>
      </w:r>
      <w:r>
        <w:t xml:space="preserve"> </w:t>
      </w:r>
      <w:r>
        <w:t xml:space="preserve">September 3, 2026</w:t>
      </w:r>
      <w:r>
        <w:br/>
      </w:r>
      <w:r>
        <w:rPr>
          <w:b/>
          <w:bCs/>
        </w:rPr>
        <w:t xml:space="preserve">Brief Relevance:</w:t>
      </w:r>
      <w:r>
        <w:t xml:space="preserve"> </w:t>
      </w:r>
      <w:r>
        <w:t xml:space="preserve">Coverage of the operational rebranding of Eucalyptus’ Pilot platform to Hims in Australia and international expansion targets.</w:t>
      </w:r>
    </w:p>
    <w:p>
      <w:pPr>
        <w:numPr>
          <w:ilvl w:val="0"/>
          <w:numId w:val="1048"/>
        </w:numPr>
      </w:pPr>
      <w:r>
        <w:rPr>
          <w:b/>
          <w:bCs/>
        </w:rPr>
        <w:t xml:space="preserve">Title:</w:t>
      </w:r>
      <w:r>
        <w:t xml:space="preserve"> </w:t>
      </w:r>
      <w:r>
        <w:t xml:space="preserve">INVESTOR ALERT: Hims &amp; Hers Health, Inc. (NYSE: HIMS) Investors Have Opportunity to Lead Class Action Lawsuit</w:t>
      </w:r>
      <w:r>
        <w:br/>
      </w:r>
      <w:r>
        <w:rPr>
          <w:b/>
          <w:bCs/>
        </w:rPr>
        <w:t xml:space="preserve">URL:</w:t>
      </w:r>
      <w:r>
        <w:t xml:space="preserve"> </w:t>
      </w:r>
      <w:r>
        <w:rPr>
          <w:rStyle w:val="VerbatimChar"/>
        </w:rPr>
        <w:t xml:space="preserve">https://www.morningstar.com/news/pr-newswire/20260929ph75691/investor-alert-hims-hers-health-inc-nyse-hims-investors-with-substantial-losses-have-opportunity-to-lead-class-action-lawsuit</w:t>
      </w:r>
      <w:r>
        <w:br/>
      </w:r>
      <w:r>
        <w:rPr>
          <w:b/>
          <w:bCs/>
        </w:rPr>
        <w:t xml:space="preserve">Source:</w:t>
      </w:r>
      <w:r>
        <w:t xml:space="preserve"> </w:t>
      </w:r>
      <w:r>
        <w:t xml:space="preserve">Morningstar / PR Newswire</w:t>
      </w:r>
      <w:r>
        <w:br/>
      </w:r>
      <w:r>
        <w:rPr>
          <w:b/>
          <w:bCs/>
        </w:rPr>
        <w:t xml:space="preserve">Author:</w:t>
      </w:r>
      <w:r>
        <w:t xml:space="preserve"> </w:t>
      </w:r>
      <w:r>
        <w:t xml:space="preserve">Kessler Topaz Meltzer &amp; Check, LLP</w:t>
      </w:r>
      <w:r>
        <w:br/>
      </w:r>
      <w:r>
        <w:rPr>
          <w:b/>
          <w:bCs/>
        </w:rPr>
        <w:t xml:space="preserve">Date Published:</w:t>
      </w:r>
      <w:r>
        <w:t xml:space="preserve"> </w:t>
      </w:r>
      <w:r>
        <w:t xml:space="preserve">September 29, 2026</w:t>
      </w:r>
      <w:r>
        <w:br/>
      </w:r>
      <w:r>
        <w:rPr>
          <w:b/>
          <w:bCs/>
        </w:rPr>
        <w:t xml:space="preserve">Brief Relevance:</w:t>
      </w:r>
      <w:r>
        <w:t xml:space="preserve"> </w:t>
      </w:r>
      <w:r>
        <w:t xml:space="preserve">Details legal allegations concerning customer data disclosures to Meta/Snap and the resulting share price impact.</w:t>
      </w:r>
    </w:p>
    <w:p>
      <w:pPr>
        <w:numPr>
          <w:ilvl w:val="0"/>
          <w:numId w:val="1048"/>
        </w:numPr>
      </w:pPr>
      <w:r>
        <w:rPr>
          <w:b/>
          <w:bCs/>
        </w:rPr>
        <w:t xml:space="preserve">Title:</w:t>
      </w:r>
      <w:r>
        <w:t xml:space="preserve"> </w:t>
      </w:r>
      <w:r>
        <w:t xml:space="preserve">Hims &amp; Hers Health ($HIMS) Securities Class Action Stemming from FTC Complaint</w:t>
      </w:r>
      <w:r>
        <w:br/>
      </w:r>
      <w:r>
        <w:rPr>
          <w:b/>
          <w:bCs/>
        </w:rPr>
        <w:t xml:space="preserve">URL:</w:t>
      </w:r>
      <w:r>
        <w:t xml:space="preserve"> </w:t>
      </w:r>
      <w:r>
        <w:rPr>
          <w:rStyle w:val="VerbatimChar"/>
        </w:rPr>
        <w:t xml:space="preserve">https://www.prnewswire.com/news-releases/hims--hers-health-hims-investors-securities-fraud-class-action-filed-contact-hagens-berman-before-november-2-2026-lead-plaintiff-deadline-302261942.html</w:t>
      </w:r>
      <w:r>
        <w:br/>
      </w:r>
      <w:r>
        <w:rPr>
          <w:b/>
          <w:bCs/>
        </w:rPr>
        <w:t xml:space="preserve">Source:</w:t>
      </w:r>
      <w:r>
        <w:t xml:space="preserve"> </w:t>
      </w:r>
      <w:r>
        <w:t xml:space="preserve">PR Newswire</w:t>
      </w:r>
      <w:r>
        <w:br/>
      </w:r>
      <w:r>
        <w:rPr>
          <w:b/>
          <w:bCs/>
        </w:rPr>
        <w:t xml:space="preserve">Author:</w:t>
      </w:r>
      <w:r>
        <w:t xml:space="preserve"> </w:t>
      </w:r>
      <w:r>
        <w:t xml:space="preserve">Hagens Berman Sobol Shapiro LLP</w:t>
      </w:r>
      <w:r>
        <w:br/>
      </w:r>
      <w:r>
        <w:rPr>
          <w:b/>
          <w:bCs/>
        </w:rPr>
        <w:t xml:space="preserve">Date Published:</w:t>
      </w:r>
      <w:r>
        <w:t xml:space="preserve"> </w:t>
      </w:r>
      <w:r>
        <w:t xml:space="preserve">September 29, 2026</w:t>
      </w:r>
      <w:r>
        <w:br/>
      </w:r>
      <w:r>
        <w:rPr>
          <w:b/>
          <w:bCs/>
        </w:rPr>
        <w:t xml:space="preserve">Brief Relevance:</w:t>
      </w:r>
      <w:r>
        <w:t xml:space="preserve"> </w:t>
      </w:r>
      <w:r>
        <w:t xml:space="preserve">Documents the legal and regulatory basis of the July 29 FTC action alongside Utah and Los Angeles County.</w:t>
      </w:r>
    </w:p>
    <w:p>
      <w:pPr>
        <w:numPr>
          <w:ilvl w:val="0"/>
          <w:numId w:val="1048"/>
        </w:numPr>
      </w:pPr>
      <w:r>
        <w:rPr>
          <w:b/>
          <w:bCs/>
        </w:rPr>
        <w:t xml:space="preserve">Title:</w:t>
      </w:r>
      <w:r>
        <w:t xml:space="preserve"> </w:t>
      </w:r>
      <w:r>
        <w:t xml:space="preserve">Hims &amp; Hers Health (HIMS) Q2 2026 Margin Deterioration and Peer Analysis</w:t>
      </w:r>
      <w:r>
        <w:br/>
      </w:r>
      <w:r>
        <w:rPr>
          <w:b/>
          <w:bCs/>
        </w:rPr>
        <w:t xml:space="preserve">URL:</w:t>
      </w:r>
      <w:r>
        <w:t xml:space="preserve"> </w:t>
      </w:r>
      <w:r>
        <w:rPr>
          <w:rStyle w:val="VerbatimChar"/>
        </w:rPr>
        <w:t xml:space="preserve">https://tikr.com/news/hims-q2-2026-margin-analysis-ftc-overhang/</w:t>
      </w:r>
      <w:r>
        <w:br/>
      </w:r>
      <w:r>
        <w:rPr>
          <w:b/>
          <w:bCs/>
        </w:rPr>
        <w:t xml:space="preserve">Source:</w:t>
      </w:r>
      <w:r>
        <w:t xml:space="preserve"> </w:t>
      </w:r>
      <w:r>
        <w:t xml:space="preserve">TIKR</w:t>
      </w:r>
      <w:r>
        <w:br/>
      </w:r>
      <w:r>
        <w:rPr>
          <w:b/>
          <w:bCs/>
        </w:rPr>
        <w:t xml:space="preserve">Author:</w:t>
      </w:r>
      <w:r>
        <w:t xml:space="preserve"> </w:t>
      </w:r>
      <w:r>
        <w:t xml:space="preserve">TIKR Financial Editorial</w:t>
      </w:r>
      <w:r>
        <w:br/>
      </w:r>
      <w:r>
        <w:rPr>
          <w:b/>
          <w:bCs/>
        </w:rPr>
        <w:t xml:space="preserve">Date Published:</w:t>
      </w:r>
      <w:r>
        <w:t xml:space="preserve"> </w:t>
      </w:r>
      <w:r>
        <w:t xml:space="preserve">September 12, 2026</w:t>
      </w:r>
      <w:r>
        <w:br/>
      </w:r>
      <w:r>
        <w:rPr>
          <w:b/>
          <w:bCs/>
        </w:rPr>
        <w:t xml:space="preserve">Brief Relevance:</w:t>
      </w:r>
      <w:r>
        <w:t xml:space="preserve"> </w:t>
      </w:r>
      <w:r>
        <w:t xml:space="preserve">Comprehensive peer comparison, valuation multiples context, and breakdown of adjusted vs. unadjusted EBITDA margins.</w:t>
      </w:r>
    </w:p>
    <w:p>
      <w:pPr>
        <w:numPr>
          <w:ilvl w:val="0"/>
          <w:numId w:val="1048"/>
        </w:numPr>
      </w:pPr>
      <w:r>
        <w:rPr>
          <w:b/>
          <w:bCs/>
        </w:rPr>
        <w:t xml:space="preserve">Title:</w:t>
      </w:r>
      <w:r>
        <w:t xml:space="preserve"> </w:t>
      </w:r>
      <w:r>
        <w:t xml:space="preserve">Hims &amp; Hers Health, Inc. Stock Forecast &amp; Valuation Overview</w:t>
      </w:r>
      <w:r>
        <w:br/>
      </w:r>
      <w:r>
        <w:rPr>
          <w:b/>
          <w:bCs/>
        </w:rPr>
        <w:t xml:space="preserve">URL:</w:t>
      </w:r>
      <w:r>
        <w:t xml:space="preserve"> </w:t>
      </w:r>
      <w:r>
        <w:rPr>
          <w:rStyle w:val="VerbatimChar"/>
        </w:rPr>
        <w:t xml:space="preserve">https://simplywall.st/stocks/us/healthcare/nyse-hims/hims-hers-health/news-update-sept-2026</w:t>
      </w:r>
      <w:r>
        <w:br/>
      </w:r>
      <w:r>
        <w:rPr>
          <w:b/>
          <w:bCs/>
        </w:rPr>
        <w:t xml:space="preserve">Source:</w:t>
      </w:r>
      <w:r>
        <w:t xml:space="preserve"> </w:t>
      </w:r>
      <w:r>
        <w:t xml:space="preserve">Simply Wall St</w:t>
      </w:r>
      <w:r>
        <w:br/>
      </w:r>
      <w:r>
        <w:rPr>
          <w:b/>
          <w:bCs/>
        </w:rPr>
        <w:t xml:space="preserve">Author:</w:t>
      </w:r>
      <w:r>
        <w:t xml:space="preserve"> </w:t>
      </w:r>
      <w:r>
        <w:t xml:space="preserve">Simply Wall St Editorial Team</w:t>
      </w:r>
      <w:r>
        <w:br/>
      </w:r>
      <w:r>
        <w:rPr>
          <w:b/>
          <w:bCs/>
        </w:rPr>
        <w:t xml:space="preserve">Date Published:</w:t>
      </w:r>
      <w:r>
        <w:t xml:space="preserve"> </w:t>
      </w:r>
      <w:r>
        <w:t xml:space="preserve">September 28, 2026</w:t>
      </w:r>
      <w:r>
        <w:br/>
      </w:r>
      <w:r>
        <w:rPr>
          <w:b/>
          <w:bCs/>
        </w:rPr>
        <w:t xml:space="preserve">Brief Relevance:</w:t>
      </w:r>
      <w:r>
        <w:t xml:space="preserve"> </w:t>
      </w:r>
      <w:r>
        <w:t xml:space="preserve">Analyzes valuation vs. healthcare industry multiples, short interest context, and product innovations including AI platforms.</w:t>
      </w:r>
    </w:p>
    <w:p>
      <w:pPr>
        <w:numPr>
          <w:ilvl w:val="0"/>
          <w:numId w:val="1048"/>
        </w:numPr>
      </w:pPr>
      <w:r>
        <w:rPr>
          <w:b/>
          <w:bCs/>
        </w:rPr>
        <w:t xml:space="preserve">Title:</w:t>
      </w:r>
      <w:r>
        <w:t xml:space="preserve"> </w:t>
      </w:r>
      <w:r>
        <w:t xml:space="preserve">HIMS Stock Forecast 2026-2027: Analyst Price Targets &amp; Factor Models</w:t>
      </w:r>
      <w:r>
        <w:br/>
      </w:r>
      <w:r>
        <w:rPr>
          <w:b/>
          <w:bCs/>
        </w:rPr>
        <w:t xml:space="preserve">URL:</w:t>
      </w:r>
      <w:r>
        <w:t xml:space="preserve"> </w:t>
      </w:r>
      <w:r>
        <w:rPr>
          <w:rStyle w:val="VerbatimChar"/>
        </w:rPr>
        <w:t xml:space="preserve">https://tickernerd.com/stock/hims/forecast/</w:t>
      </w:r>
      <w:r>
        <w:br/>
      </w:r>
      <w:r>
        <w:rPr>
          <w:b/>
          <w:bCs/>
        </w:rPr>
        <w:t xml:space="preserve">Source:</w:t>
      </w:r>
      <w:r>
        <w:t xml:space="preserve"> </w:t>
      </w:r>
      <w:r>
        <w:t xml:space="preserve">Ticker Nerd</w:t>
      </w:r>
      <w:r>
        <w:br/>
      </w:r>
      <w:r>
        <w:rPr>
          <w:b/>
          <w:bCs/>
        </w:rPr>
        <w:t xml:space="preserve">Author:</w:t>
      </w:r>
      <w:r>
        <w:t xml:space="preserve"> </w:t>
      </w:r>
      <w:r>
        <w:t xml:space="preserve">Aslam Ghouse</w:t>
      </w:r>
      <w:r>
        <w:br/>
      </w:r>
      <w:r>
        <w:rPr>
          <w:b/>
          <w:bCs/>
        </w:rPr>
        <w:t xml:space="preserve">Date Published:</w:t>
      </w:r>
      <w:r>
        <w:t xml:space="preserve"> </w:t>
      </w:r>
      <w:r>
        <w:t xml:space="preserve">September 25, 2026</w:t>
      </w:r>
      <w:r>
        <w:br/>
      </w:r>
      <w:r>
        <w:rPr>
          <w:b/>
          <w:bCs/>
        </w:rPr>
        <w:t xml:space="preserve">Brief Relevance:</w:t>
      </w:r>
      <w:r>
        <w:t xml:space="preserve"> </w:t>
      </w:r>
      <w:r>
        <w:t xml:space="preserve">Outlines recent analyst actions (including JPMorgan’s September initiation) and quantitative factor metrics for HIMS.</w:t>
      </w:r>
    </w:p>
    <w:p>
      <w:r>
        <w:br w:type="page"/>
      </w:r>
    </w:p>
    <w:bookmarkEnd w:id="38"/>
    <w:bookmarkEnd w:id="39"/>
    <w:bookmarkStart w:id="51" w:name="X4899c2453e44a82a7b35b43d4ae20e3bc7bd912"/>
    <w:p>
      <w:pPr>
        <w:pStyle w:val="Heading1"/>
      </w:pPr>
      <w:r>
        <w:t xml:space="preserve">Appendix C: Long-Term Strategies (Gemini educational scenario)</w:t>
      </w:r>
    </w:p>
    <w:bookmarkStart w:id="45" w:name="part-1-long-term-investment-thesis"/>
    <w:p>
      <w:pPr>
        <w:pStyle w:val="Heading3"/>
      </w:pPr>
      <w:r>
        <w:t xml:space="preserve">Part 1: Long-Term Investment Thesis</w:t>
      </w:r>
    </w:p>
    <w:bookmarkStart w:id="40" w:name="business-quality-competitive-positioning"/>
    <w:p>
      <w:pPr>
        <w:pStyle w:val="Heading4"/>
      </w:pPr>
      <w:r>
        <w:t xml:space="preserve">Business Quality &amp; Competitive Positioning</w:t>
      </w:r>
    </w:p>
    <w:p>
      <w:pPr>
        <w:pStyle w:val="FirstParagraph"/>
      </w:pPr>
      <w:r>
        <w:t xml:space="preserve">Hims &amp; Hers Health, Inc. (HIMS) operates a direct-to-consumer digital health platform that pairs customer acquisition, clinical intake, asynchronous telemedicine consultations, and home-delivery fulfillment. The platform spans recurring conditions in sexual health, dermatology, mental health, weight management, and hormonal therapies. The company monetizes through recurring consumer subscriptions and bundled product offerings, achieving an average monthly revenue per subscriber of $92 across 2.89 million active subscribers as of Q2 2026.</w:t>
      </w:r>
    </w:p>
    <w:p>
      <w:pPr>
        <w:pStyle w:val="BodyText"/>
      </w:pPr>
      <w:r>
        <w:rPr>
          <w:b/>
          <w:bCs/>
        </w:rPr>
        <w:t xml:space="preserve">Moat &amp; Protective Attributes:</w:t>
      </w:r>
      <w:r>
        <w:t xml:space="preserve"> </w:t>
      </w:r>
      <w:r>
        <w:t xml:space="preserve">*</w:t>
      </w:r>
      <w:r>
        <w:t xml:space="preserve"> </w:t>
      </w:r>
      <w:r>
        <w:rPr>
          <w:b/>
          <w:bCs/>
        </w:rPr>
        <w:t xml:space="preserve">Personalized Product Formulations:</w:t>
      </w:r>
      <w:r>
        <w:t xml:space="preserve"> </w:t>
      </w:r>
      <w:r>
        <w:t xml:space="preserve">The company has shifted away from generic off-the-shelf offerings toward proprietary compounded formulations (custom dosages and multi-ingredient combinations), which represented over 70% of U.S. revenue in FY2025. This creates meaningful switching friction compared to standard retail pharmacies.</w:t>
      </w:r>
      <w:r>
        <w:t xml:space="preserve"> </w:t>
      </w:r>
      <w:r>
        <w:t xml:space="preserve">*</w:t>
      </w:r>
      <w:r>
        <w:t xml:space="preserve"> </w:t>
      </w:r>
      <w:r>
        <w:rPr>
          <w:b/>
          <w:bCs/>
        </w:rPr>
        <w:t xml:space="preserve">Vertical Integration of Manufacturing &amp; Fulfillment:</w:t>
      </w:r>
      <w:r>
        <w:t xml:space="preserve"> </w:t>
      </w:r>
      <w:r>
        <w:t xml:space="preserve">HIMS has internalized dispensing via dedicated 503A and 503B compounding pharmacies and peptide manufacturing assets (CS Bio acquisition). This infrastructure reduces per-unit fulfillment costs at scale and provides proprietary control over customer delivery cadences.</w:t>
      </w:r>
      <w:r>
        <w:t xml:space="preserve"> </w:t>
      </w:r>
      <w:r>
        <w:t xml:space="preserve">*</w:t>
      </w:r>
      <w:r>
        <w:t xml:space="preserve"> </w:t>
      </w:r>
      <w:r>
        <w:rPr>
          <w:b/>
          <w:bCs/>
        </w:rPr>
        <w:t xml:space="preserve">Consumer Brand Equity:</w:t>
      </w:r>
      <w:r>
        <w:t xml:space="preserve"> </w:t>
      </w:r>
      <w:r>
        <w:t xml:space="preserve">Operating across the</w:t>
      </w:r>
      <w:r>
        <w:t xml:space="preserve"> </w:t>
      </w:r>
      <w:r>
        <w:t xml:space="preserve">“Hims”</w:t>
      </w:r>
      <w:r>
        <w:t xml:space="preserve"> </w:t>
      </w:r>
      <w:r>
        <w:t xml:space="preserve">and</w:t>
      </w:r>
      <w:r>
        <w:t xml:space="preserve"> </w:t>
      </w:r>
      <w:r>
        <w:t xml:space="preserve">“Hers”</w:t>
      </w:r>
      <w:r>
        <w:t xml:space="preserve"> </w:t>
      </w:r>
      <w:r>
        <w:t xml:space="preserve">brands (with Hers expanding to over 40% of U.S. revenue), the business has achieved consumer recognition outside legacy healthcare systems.</w:t>
      </w:r>
    </w:p>
    <w:p>
      <w:pPr>
        <w:pStyle w:val="BodyText"/>
      </w:pPr>
      <w:r>
        <w:rPr>
          <w:b/>
          <w:bCs/>
        </w:rPr>
        <w:t xml:space="preserve">Fragility in the Moat:</w:t>
      </w:r>
      <w:r>
        <w:t xml:space="preserve"> </w:t>
      </w:r>
      <w:r>
        <w:t xml:space="preserve">Telehealth carries inherently low structural barriers to entry. The platform relies heavily on variable marketing spend ($798.5 million in FY2025; $229.5 million in Q2 2026) to acquire and retain consumers. Furthermore, the company relies on contractual arrangements with physician-owned Affiliated Medical Groups (structured as Variable Interest Entities) to comply with state Corporate Practice of Medicine (CPOM) regulations—a structure vulnerable to regulatory scrutiny.</w:t>
      </w:r>
    </w:p>
    <w:p>
      <w:r>
        <w:pict>
          <v:rect style="width:0;height:1.5pt" o:hralign="center" o:hrstd="t" o:hr="t"/>
        </w:pict>
      </w:r>
    </w:p>
    <w:bookmarkEnd w:id="40"/>
    <w:bookmarkStart w:id="41" w:name="financial-trajectory"/>
    <w:p>
      <w:pPr>
        <w:pStyle w:val="Heading4"/>
      </w:pPr>
      <w:r>
        <w:t xml:space="preserve">Financial Trajectory</w:t>
      </w:r>
    </w:p>
    <w:p>
      <w:pPr>
        <w:pStyle w:val="Compact"/>
        <w:numPr>
          <w:ilvl w:val="0"/>
          <w:numId w:val="1049"/>
        </w:numPr>
      </w:pPr>
      <w:r>
        <w:rPr>
          <w:b/>
          <w:bCs/>
        </w:rPr>
        <w:t xml:space="preserve">Top-Line Expansion:</w:t>
      </w:r>
      <w:r>
        <w:t xml:space="preserve"> </w:t>
      </w:r>
      <w:r>
        <w:t xml:space="preserve">Revenue has compounded rapidly, scaling from $271.88M in FY2021 to $1,476.51M in FY2024 (+69.3%) and $2,347.64M in FY2025 (+59.0%). In Q2 2026, revenue expanded 38.2% year-over-year to $753.21M, driven by 18.5% subscriber growth and international scaling ($131.38M in international revenue vs. $7.55M in Q2 2025). Full-year 2026 guidance is projected between $3.1B and $3.3B.</w:t>
      </w:r>
    </w:p>
    <w:p>
      <w:pPr>
        <w:pStyle w:val="Compact"/>
        <w:numPr>
          <w:ilvl w:val="0"/>
          <w:numId w:val="1049"/>
        </w:numPr>
      </w:pPr>
      <w:r>
        <w:rPr>
          <w:b/>
          <w:bCs/>
        </w:rPr>
        <w:t xml:space="preserve">Operating &amp; Net Margins:</w:t>
      </w:r>
      <w:r>
        <w:t xml:space="preserve"> </w:t>
      </w:r>
      <w:r>
        <w:t xml:space="preserve">Operating margins inflected from deeply negative (-42.3% in FY2021, -13.0% in FY2022) to positive in FY2024 (4.2%) and FY2025 (4.5%). However, profitability experienced acute volatility in Q2 2026, posting an operating loss of -$97.19M and a net loss of -$86.29M (-$0.37 per share), burdened by $47.50M in legal contingency reserves, $28.84M in acquisition expenses, and gross margin compression from 76.4% to 63.8%.</w:t>
      </w:r>
    </w:p>
    <w:p>
      <w:pPr>
        <w:pStyle w:val="Compact"/>
        <w:numPr>
          <w:ilvl w:val="0"/>
          <w:numId w:val="1049"/>
        </w:numPr>
      </w:pPr>
      <w:r>
        <w:rPr>
          <w:b/>
          <w:bCs/>
        </w:rPr>
        <w:t xml:space="preserve">Cash Flow &amp; Capital Intensity:</w:t>
      </w:r>
      <w:r>
        <w:t xml:space="preserve"> </w:t>
      </w:r>
      <w:r>
        <w:t xml:space="preserve">Operating cash flow rose from -$34.41M in FY2021 to $300.01M in FY2025. Free cash flow peaked at $198.33M in FY2024 before receding to $57.42M in FY2025 due to an aggressive CapEx cycle ($242.59M) focused on 503B pharmacy facilities and peptide manufacturing. First-half 2026 FCF turned negative (-$15.16M), driven by -$68.19M in Q2 FCF.</w:t>
      </w:r>
    </w:p>
    <w:p>
      <w:pPr>
        <w:pStyle w:val="Compact"/>
        <w:numPr>
          <w:ilvl w:val="0"/>
          <w:numId w:val="1049"/>
        </w:numPr>
      </w:pPr>
      <w:r>
        <w:rPr>
          <w:b/>
          <w:bCs/>
        </w:rPr>
        <w:t xml:space="preserve">Balance Sheet:</w:t>
      </w:r>
      <w:r>
        <w:t xml:space="preserve"> </w:t>
      </w:r>
      <w:r>
        <w:t xml:space="preserve">Funded debt stood at $0.00 through year-end FY2025. However, in mid-2026, HIMS took on new debt facilities to support the acquisition of Eucalyptus ($1.15B maximum consideration: $240M upfront cash, $710M in deferred cash/equity payments over 18 months, and up to $200M in earn-outs).</w:t>
      </w:r>
    </w:p>
    <w:p>
      <w:r>
        <w:pict>
          <v:rect style="width:0;height:1.5pt" o:hralign="center" o:hrstd="t" o:hr="t"/>
        </w:pict>
      </w:r>
    </w:p>
    <w:bookmarkEnd w:id="41"/>
    <w:bookmarkStart w:id="42" w:name="valuation-assessment"/>
    <w:p>
      <w:pPr>
        <w:pStyle w:val="Heading4"/>
      </w:pPr>
      <w:r>
        <w:t xml:space="preserve">Valuation Assessment</w:t>
      </w:r>
    </w:p>
    <w:p>
      <w:pPr>
        <w:pStyle w:val="FirstParagraph"/>
      </w:pPr>
      <w:r>
        <w:rPr>
          <w:i/>
          <w:iCs/>
        </w:rPr>
        <w:t xml:space="preserve">(Market data as of September 28–29, 2026; Stock Price: ~$28.80; Market Cap: ~$6.86B)</w:t>
      </w:r>
    </w:p>
    <w:p>
      <w:pPr>
        <w:pStyle w:val="Compact"/>
        <w:numPr>
          <w:ilvl w:val="0"/>
          <w:numId w:val="1050"/>
        </w:numPr>
      </w:pPr>
      <w:r>
        <w:rPr>
          <w:b/>
          <w:bCs/>
        </w:rPr>
        <w:t xml:space="preserve">Multiples Context:</w:t>
      </w:r>
      <w:r>
        <w:t xml:space="preserve"> </w:t>
      </w:r>
      <w:r>
        <w:t xml:space="preserve">Trailing P/E is negative (-45.8x to -48.3x) due to Q2 2026 non-recurring charges and margin contraction. Forward P/E stands at approximately 65x based on an estimated FY2027 EPS recovery to $0.44 (against an expected full-year FY2026 loss per share of -$0.16). On a forward Price-to-Sales basis, HIMS trades at ~2.1x–2.2x guided 2026 revenues of $3.1B–$3.3B.</w:t>
      </w:r>
    </w:p>
    <w:p>
      <w:pPr>
        <w:pStyle w:val="Compact"/>
        <w:numPr>
          <w:ilvl w:val="0"/>
          <w:numId w:val="1050"/>
        </w:numPr>
      </w:pPr>
      <w:r>
        <w:rPr>
          <w:b/>
          <w:bCs/>
        </w:rPr>
        <w:t xml:space="preserve">Historical vs. Peer Picture:</w:t>
      </w:r>
      <w:r>
        <w:t xml:space="preserve"> </w:t>
      </w:r>
      <w:r>
        <w:t xml:space="preserve">The forward P/S multiple has contracted from historical levels above 3.1x (and a 52-week peak share price of $65.30), reflecting acute market concern over gross margin compression (down 1,200+ bps YoY to 63.8%), the pivot away from high-margin compounded semaglutide, and FTC/DOJ legal risks. While HIMS trades at a discount to high-margin digital health SaaS peers like Doximity (4.8x P/S), it maintains a premium over legacy telehealth operators like Teladoc.</w:t>
      </w:r>
    </w:p>
    <w:p>
      <w:pPr>
        <w:pStyle w:val="Compact"/>
        <w:numPr>
          <w:ilvl w:val="0"/>
          <w:numId w:val="1050"/>
        </w:numPr>
      </w:pPr>
      <w:r>
        <w:rPr>
          <w:b/>
          <w:bCs/>
        </w:rPr>
        <w:t xml:space="preserve">Is the Good News Priced In?</w:t>
      </w:r>
      <w:r>
        <w:t xml:space="preserve"> </w:t>
      </w:r>
      <w:r>
        <w:t xml:space="preserve">The stock is not pricing in unchecked hyper-growth; rather, it reflects a deep tug-of-war. The top-line guidance raise ($3.1B–$3.3B) and international expansion are partially offset by high short interest (25.7% of float), regulatory overhangs, and near-term margin degradation. Current levels reflect substantial uncertainty regarding normalized long-term free cash flow margins.</w:t>
      </w:r>
    </w:p>
    <w:p>
      <w:r>
        <w:pict>
          <v:rect style="width:0;height:1.5pt" o:hralign="center" o:hrstd="t" o:hr="t"/>
        </w:pict>
      </w:r>
    </w:p>
    <w:bookmarkEnd w:id="42"/>
    <w:bookmarkStart w:id="43" w:name="bull-case-vs.-bear-case"/>
    <w:p>
      <w:pPr>
        <w:pStyle w:val="Heading4"/>
      </w:pPr>
      <w:r>
        <w:t xml:space="preserve">Bull Case vs. Bear Case</w:t>
      </w:r>
    </w:p>
    <w:p>
      <w:pPr>
        <w:pStyle w:val="FirstParagraph"/>
      </w:pPr>
      <w:r>
        <w:rPr>
          <w:b/>
          <w:bCs/>
        </w:rPr>
        <w:t xml:space="preserve">Bull Case:</w:t>
      </w:r>
      <w:r>
        <w:t xml:space="preserve"> </w:t>
      </w:r>
      <w:r>
        <w:t xml:space="preserve">1.</w:t>
      </w:r>
      <w:r>
        <w:t xml:space="preserve"> </w:t>
      </w:r>
      <w:r>
        <w:rPr>
          <w:b/>
          <w:bCs/>
        </w:rPr>
        <w:t xml:space="preserve">Global Scale &amp; Cross-Sell Dominance:</w:t>
      </w:r>
      <w:r>
        <w:t xml:space="preserve"> </w:t>
      </w:r>
      <w:r>
        <w:t xml:space="preserve">Successful integration of Eucalyptus (Australia, U.K., Germany, Japan) and Zava allows HIMS to cross $1B in international revenue, achieving multi-condition subscriber stickiness and lifting monthly revenue per user well beyond $100.</w:t>
      </w:r>
      <w:r>
        <w:t xml:space="preserve"> </w:t>
      </w:r>
      <w:r>
        <w:t xml:space="preserve">2.</w:t>
      </w:r>
      <w:r>
        <w:t xml:space="preserve"> </w:t>
      </w:r>
      <w:r>
        <w:rPr>
          <w:b/>
          <w:bCs/>
        </w:rPr>
        <w:t xml:space="preserve">Margin Rebound via Vertical Integration:</w:t>
      </w:r>
      <w:r>
        <w:t xml:space="preserve"> </w:t>
      </w:r>
      <w:r>
        <w:t xml:space="preserve">Internalization of 503A/503B compounding and proprietary peptide supply chains restores gross margins toward 70%+, enabling adjusted EBITDA margins to reach management’s 2030 target of 20% ($1.3B EBITDA on $6.5B revenue).</w:t>
      </w:r>
      <w:r>
        <w:t xml:space="preserve"> </w:t>
      </w:r>
      <w:r>
        <w:t xml:space="preserve">3.</w:t>
      </w:r>
      <w:r>
        <w:t xml:space="preserve"> </w:t>
      </w:r>
      <w:r>
        <w:rPr>
          <w:b/>
          <w:bCs/>
        </w:rPr>
        <w:t xml:space="preserve">Resolution of Regulatory Overhangs:</w:t>
      </w:r>
      <w:r>
        <w:t xml:space="preserve"> </w:t>
      </w:r>
      <w:r>
        <w:t xml:space="preserve">Settlements with the FTC and DOJ that entail manageable monetary penalties without structural prohibitions on personalized compounding or patient intake, removing the multiple discount.</w:t>
      </w:r>
    </w:p>
    <w:p>
      <w:pPr>
        <w:pStyle w:val="BodyText"/>
      </w:pPr>
      <w:r>
        <w:rPr>
          <w:b/>
          <w:bCs/>
        </w:rPr>
        <w:t xml:space="preserve">Bear Case:</w:t>
      </w:r>
      <w:r>
        <w:t xml:space="preserve"> </w:t>
      </w:r>
      <w:r>
        <w:t xml:space="preserve">1.</w:t>
      </w:r>
      <w:r>
        <w:t xml:space="preserve"> </w:t>
      </w:r>
      <w:r>
        <w:rPr>
          <w:b/>
          <w:bCs/>
        </w:rPr>
        <w:t xml:space="preserve">Severe Regulatory Enforcement Actions:</w:t>
      </w:r>
      <w:r>
        <w:t xml:space="preserve"> </w:t>
      </w:r>
      <w:r>
        <w:t xml:space="preserve">Adverse rulings or severe injunctions from the DOJ/FDA regarding GLP-1 compounding marketing, or punitive FTC sanctions regarding consumer data practices, damaging customer acquisition channels and forcing costly operational overhauls.</w:t>
      </w:r>
      <w:r>
        <w:t xml:space="preserve"> </w:t>
      </w:r>
      <w:r>
        <w:t xml:space="preserve">2.</w:t>
      </w:r>
      <w:r>
        <w:t xml:space="preserve"> </w:t>
      </w:r>
      <w:r>
        <w:rPr>
          <w:b/>
          <w:bCs/>
        </w:rPr>
        <w:t xml:space="preserve">Permanent Gross Margin Dilution:</w:t>
      </w:r>
      <w:r>
        <w:t xml:space="preserve"> </w:t>
      </w:r>
      <w:r>
        <w:t xml:space="preserve">The mandatory transition from high-margin proprietary compounded peptides to low-margin branded GLP-1 partnerships, combined with international shipping friction, permanently caps gross margins in the low-60% range, eliminating operating leverage.</w:t>
      </w:r>
      <w:r>
        <w:t xml:space="preserve"> </w:t>
      </w:r>
      <w:r>
        <w:t xml:space="preserve">3.</w:t>
      </w:r>
      <w:r>
        <w:t xml:space="preserve"> </w:t>
      </w:r>
      <w:r>
        <w:rPr>
          <w:b/>
          <w:bCs/>
        </w:rPr>
        <w:t xml:space="preserve">Acquisition Overextension &amp; Balance Sheet Strain:</w:t>
      </w:r>
      <w:r>
        <w:t xml:space="preserve"> </w:t>
      </w:r>
      <w:r>
        <w:t xml:space="preserve">The $710M in deferred payments for Eucalyptus over 18 months, combined with ongoing CapEx requirements, exhausts cash reserves, necessitating dilutive equity issuance or high-cost debt refinancing during a period of negative free cash flow.</w:t>
      </w:r>
    </w:p>
    <w:p>
      <w:r>
        <w:pict>
          <v:rect style="width:0;height:1.5pt" o:hralign="center" o:hrstd="t" o:hr="t"/>
        </w:pict>
      </w:r>
    </w:p>
    <w:bookmarkEnd w:id="43"/>
    <w:bookmarkStart w:id="44" w:name="X610507f31e1a937f2017ab66b58dfdc3d320d80"/>
    <w:p>
      <w:pPr>
        <w:pStyle w:val="Heading4"/>
      </w:pPr>
      <w:r>
        <w:t xml:space="preserve">What Must Be True for a 10-Year Horizon Success</w:t>
      </w:r>
    </w:p>
    <w:p>
      <w:pPr>
        <w:pStyle w:val="FirstParagraph"/>
      </w:pPr>
      <w:r>
        <w:t xml:space="preserve">For HIMS to deliver attractive 10+ year returns from ~$28.80, the business must:</w:t>
      </w:r>
      <w:r>
        <w:t xml:space="preserve"> </w:t>
      </w:r>
      <w:r>
        <w:t xml:space="preserve">1. Re-expand and stabilize consolidated gross margins above 68% as manufacturing efficiencies offset lower-margin branded GLP-1 and international distribution.</w:t>
      </w:r>
      <w:r>
        <w:t xml:space="preserve"> </w:t>
      </w:r>
      <w:r>
        <w:t xml:space="preserve">2. Successfully transition deferred acquisition obligations ($710M) without triggering severe shareholder dilution or debt distress.</w:t>
      </w:r>
      <w:r>
        <w:t xml:space="preserve"> </w:t>
      </w:r>
      <w:r>
        <w:t xml:space="preserve">3. Establish a defensible regulatory perimeter with the FDA, FTC, and state medical boards that validates its personalized compounding and digital advertising intake funnel.</w:t>
      </w:r>
      <w:r>
        <w:t xml:space="preserve"> </w:t>
      </w:r>
      <w:r>
        <w:t xml:space="preserve">4. Convert top-line expansion into sustained free cash flow conversion of at least 10%–12% of revenue by FY2028–FY2030.</w:t>
      </w:r>
    </w:p>
    <w:p>
      <w:r>
        <w:pict>
          <v:rect style="width:0;height:1.5pt" o:hralign="center" o:hrstd="t" o:hr="t"/>
        </w:pict>
      </w:r>
    </w:p>
    <w:bookmarkEnd w:id="44"/>
    <w:bookmarkEnd w:id="45"/>
    <w:bookmarkStart w:id="49" w:name="part-2-long-term-investment-approaches"/>
    <w:p>
      <w:pPr>
        <w:pStyle w:val="Heading3"/>
      </w:pPr>
      <w:r>
        <w:t xml:space="preserve">Part 2: Long-Term Investment Approaches</w:t>
      </w:r>
    </w:p>
    <w:p>
      <w:pPr>
        <w:pStyle w:val="FirstParagraph"/>
      </w:pPr>
      <w:r>
        <w:t xml:space="preserve">Given a</w:t>
      </w:r>
      <w:r>
        <w:t xml:space="preserve"> </w:t>
      </w:r>
      <w:r>
        <w:rPr>
          <w:b/>
          <w:bCs/>
        </w:rPr>
        <w:t xml:space="preserve">moderate risk attitude</w:t>
      </w:r>
      <w:r>
        <w:t xml:space="preserve"> </w:t>
      </w:r>
      <w:r>
        <w:t xml:space="preserve">and a</w:t>
      </w:r>
      <w:r>
        <w:t xml:space="preserve"> </w:t>
      </w:r>
      <w:r>
        <w:rPr>
          <w:b/>
          <w:bCs/>
        </w:rPr>
        <w:t xml:space="preserve">10+ year time horizon</w:t>
      </w:r>
      <w:r>
        <w:t xml:space="preserve">, an investor must balance HIMS’s top-line growth against its heightened regulatory risks, recent gross margin compression, negative trailing free cash flow, and acquisition liabilities. Sizing should reflect an aggressive-growth asset placed within a moderate overall portfolio.</w:t>
      </w:r>
    </w:p>
    <w:p>
      <w:r>
        <w:pict>
          <v:rect style="width:0;height:1.5pt" o:hralign="center" o:hrstd="t" o:hr="t"/>
        </w:pict>
      </w:r>
    </w:p>
    <w:bookmarkStart w:id="46" w:name="Xf6268c6b561e1afe3a2e9624354bbc932a128c2"/>
    <w:p>
      <w:pPr>
        <w:pStyle w:val="Heading4"/>
      </w:pPr>
      <w:r>
        <w:t xml:space="preserve">Approach 1: Staged Milestones Entry (Starter Position + Fundamental Gating)</w:t>
      </w:r>
    </w:p>
    <w:p>
      <w:pPr>
        <w:pStyle w:val="Compact"/>
        <w:numPr>
          <w:ilvl w:val="0"/>
          <w:numId w:val="1051"/>
        </w:numPr>
      </w:pPr>
      <w:r>
        <w:rPr>
          <w:b/>
          <w:bCs/>
        </w:rPr>
        <w:t xml:space="preserve">Name:</w:t>
      </w:r>
      <w:r>
        <w:t xml:space="preserve"> </w:t>
      </w:r>
      <w:r>
        <w:t xml:space="preserve">Regulatory &amp; Margin Milestone Accumulation</w:t>
      </w:r>
    </w:p>
    <w:p>
      <w:pPr>
        <w:pStyle w:val="Compact"/>
        <w:numPr>
          <w:ilvl w:val="0"/>
          <w:numId w:val="1051"/>
        </w:numPr>
      </w:pPr>
      <w:r>
        <w:rPr>
          <w:b/>
          <w:bCs/>
        </w:rPr>
        <w:t xml:space="preserve">Rationale:</w:t>
      </w:r>
      <w:r>
        <w:t xml:space="preserve"> </w:t>
      </w:r>
      <w:r>
        <w:t xml:space="preserve">HIMS faces dual inflection points: an FTC lawsuit/DOJ referral and a steep gross margin compression to 63.8%. A moderate investor should avoid taking a full position while these binary risks remain unresolved. Initiating a minimal starter position and conditioning subsequent tranches on verifiable SEC filing metrics balances long-term upside with risk management.</w:t>
      </w:r>
    </w:p>
    <w:p>
      <w:pPr>
        <w:pStyle w:val="Compact"/>
        <w:numPr>
          <w:ilvl w:val="0"/>
          <w:numId w:val="1051"/>
        </w:numPr>
      </w:pPr>
      <w:r>
        <w:rPr>
          <w:b/>
          <w:bCs/>
        </w:rPr>
        <w:t xml:space="preserve">Fit with User Profile:</w:t>
      </w:r>
      <w:r>
        <w:t xml:space="preserve"> </w:t>
      </w:r>
      <w:r>
        <w:t xml:space="preserve">Fits a moderate investor seeking exposure to healthcare consumerization over 10+ years without absorbing unhedged regulatory fallout.</w:t>
      </w:r>
    </w:p>
    <w:p>
      <w:pPr>
        <w:pStyle w:val="Compact"/>
        <w:numPr>
          <w:ilvl w:val="0"/>
          <w:numId w:val="1051"/>
        </w:numPr>
      </w:pPr>
      <w:r>
        <w:rPr>
          <w:b/>
          <w:bCs/>
        </w:rPr>
        <w:t xml:space="preserve">Suggested Maximum Allocation:</w:t>
      </w:r>
      <w:r>
        <w:t xml:space="preserve"> </w:t>
      </w:r>
      <w:r>
        <w:t xml:space="preserve">2.0% to 2.5% of total portfolio.</w:t>
      </w:r>
    </w:p>
    <w:p>
      <w:pPr>
        <w:pStyle w:val="Compact"/>
        <w:numPr>
          <w:ilvl w:val="0"/>
          <w:numId w:val="1051"/>
        </w:numPr>
      </w:pPr>
      <w:r>
        <w:rPr>
          <w:b/>
          <w:bCs/>
        </w:rPr>
        <w:t xml:space="preserve">Reasonable Entry Range or Condition:</w:t>
      </w:r>
    </w:p>
    <w:p>
      <w:pPr>
        <w:pStyle w:val="Compact"/>
        <w:numPr>
          <w:ilvl w:val="1"/>
          <w:numId w:val="1052"/>
        </w:numPr>
      </w:pPr>
      <w:r>
        <w:rPr>
          <w:i/>
          <w:iCs/>
        </w:rPr>
        <w:t xml:space="preserve">Tranche 1 (0.75% allocation):</w:t>
      </w:r>
      <w:r>
        <w:t xml:space="preserve"> </w:t>
      </w:r>
      <w:r>
        <w:t xml:space="preserve">Initiate at current valuation (Forward P/S between 1.8x and 2.2x, or share price between $24.00 and $29.00).</w:t>
      </w:r>
    </w:p>
    <w:p>
      <w:pPr>
        <w:pStyle w:val="Compact"/>
        <w:numPr>
          <w:ilvl w:val="1"/>
          <w:numId w:val="1052"/>
        </w:numPr>
      </w:pPr>
      <w:r>
        <w:rPr>
          <w:i/>
          <w:iCs/>
        </w:rPr>
        <w:t xml:space="preserve">Tranche 2 (0.75% allocation):</w:t>
      </w:r>
      <w:r>
        <w:t xml:space="preserve"> </w:t>
      </w:r>
      <w:r>
        <w:t xml:space="preserve">Conditioned on a Form 10-Q showing two consecutive quarters of consolidated gross margin stabilization above 66% and positive operating cash flow.</w:t>
      </w:r>
    </w:p>
    <w:p>
      <w:pPr>
        <w:pStyle w:val="Compact"/>
        <w:numPr>
          <w:ilvl w:val="1"/>
          <w:numId w:val="1052"/>
        </w:numPr>
      </w:pPr>
      <w:r>
        <w:rPr>
          <w:i/>
          <w:iCs/>
        </w:rPr>
        <w:t xml:space="preserve">Tranche 3 (1.0% allocation):</w:t>
      </w:r>
      <w:r>
        <w:t xml:space="preserve"> </w:t>
      </w:r>
      <w:r>
        <w:t xml:space="preserve">Conditioned on formal settlement or legal resolution of the FTC complaint and DOJ compounded GLP-1 inquiry without operational restrictions on personalized formulations.</w:t>
      </w:r>
    </w:p>
    <w:p>
      <w:pPr>
        <w:pStyle w:val="Compact"/>
        <w:numPr>
          <w:ilvl w:val="0"/>
          <w:numId w:val="1051"/>
        </w:numPr>
      </w:pPr>
      <w:r>
        <w:rPr>
          <w:b/>
          <w:bCs/>
        </w:rPr>
        <w:t xml:space="preserve">What to Monitor:</w:t>
      </w:r>
    </w:p>
    <w:p>
      <w:pPr>
        <w:pStyle w:val="Compact"/>
        <w:numPr>
          <w:ilvl w:val="1"/>
          <w:numId w:val="1053"/>
        </w:numPr>
      </w:pPr>
      <w:r>
        <w:t xml:space="preserve">Consolidated gross margin (concern if sustained below 63%).</w:t>
      </w:r>
    </w:p>
    <w:p>
      <w:pPr>
        <w:pStyle w:val="Compact"/>
        <w:numPr>
          <w:ilvl w:val="1"/>
          <w:numId w:val="1053"/>
        </w:numPr>
      </w:pPr>
      <w:r>
        <w:t xml:space="preserve">Free Cash Flow recovery (concern if FCF remains negative for more than two consecutive quarters).</w:t>
      </w:r>
    </w:p>
    <w:p>
      <w:pPr>
        <w:pStyle w:val="Compact"/>
        <w:numPr>
          <w:ilvl w:val="1"/>
          <w:numId w:val="1053"/>
        </w:numPr>
      </w:pPr>
      <w:r>
        <w:t xml:space="preserve">Selling, General &amp; Administrative expense trends relative to revenue.</w:t>
      </w:r>
    </w:p>
    <w:p>
      <w:pPr>
        <w:pStyle w:val="Compact"/>
        <w:numPr>
          <w:ilvl w:val="0"/>
          <w:numId w:val="1051"/>
        </w:numPr>
      </w:pPr>
      <w:r>
        <w:rPr>
          <w:b/>
          <w:bCs/>
        </w:rPr>
        <w:t xml:space="preserve">Thesis Broken If:</w:t>
      </w:r>
      <w:r>
        <w:t xml:space="preserve"> </w:t>
      </w:r>
      <w:r>
        <w:t xml:space="preserve">DOJ or FDA issues a formal injunction shutting down mass-market personalized compounding operations, or the company is forced to issue significant equity at distressed valuations to meet the $710M Eucalyptus deferred liability.</w:t>
      </w:r>
    </w:p>
    <w:p>
      <w:pPr>
        <w:pStyle w:val="Compact"/>
        <w:numPr>
          <w:ilvl w:val="0"/>
          <w:numId w:val="1051"/>
        </w:numPr>
      </w:pPr>
      <w:r>
        <w:rPr>
          <w:b/>
          <w:bCs/>
        </w:rPr>
        <w:t xml:space="preserve">Main Risks:</w:t>
      </w:r>
      <w:r>
        <w:t xml:space="preserve"> </w:t>
      </w:r>
      <w:r>
        <w:t xml:space="preserve">Regulatory penalties, continued gross margin degradation, executive turnover under legal pressure.</w:t>
      </w:r>
    </w:p>
    <w:p>
      <w:r>
        <w:pict>
          <v:rect style="width:0;height:1.5pt" o:hralign="center" o:hrstd="t" o:hr="t"/>
        </w:pict>
      </w:r>
    </w:p>
    <w:bookmarkEnd w:id="46"/>
    <w:bookmarkStart w:id="47" w:name="X47fa21d81fc201d9fac7fa21c4bfa139c3950f4"/>
    <w:p>
      <w:pPr>
        <w:pStyle w:val="Heading4"/>
      </w:pPr>
      <w:r>
        <w:t xml:space="preserve">Approach 2: Disciplined Dollar-Cost Averaging (DCA Over 12–18 Months)</w:t>
      </w:r>
    </w:p>
    <w:p>
      <w:pPr>
        <w:pStyle w:val="Compact"/>
        <w:numPr>
          <w:ilvl w:val="0"/>
          <w:numId w:val="1054"/>
        </w:numPr>
      </w:pPr>
      <w:r>
        <w:rPr>
          <w:b/>
          <w:bCs/>
        </w:rPr>
        <w:t xml:space="preserve">Name:</w:t>
      </w:r>
      <w:r>
        <w:t xml:space="preserve"> </w:t>
      </w:r>
      <w:r>
        <w:t xml:space="preserve">Time-Diversified Strategic Build</w:t>
      </w:r>
    </w:p>
    <w:p>
      <w:pPr>
        <w:pStyle w:val="Compact"/>
        <w:numPr>
          <w:ilvl w:val="0"/>
          <w:numId w:val="1054"/>
        </w:numPr>
      </w:pPr>
      <w:r>
        <w:rPr>
          <w:b/>
          <w:bCs/>
        </w:rPr>
        <w:t xml:space="preserve">Rationale:</w:t>
      </w:r>
      <w:r>
        <w:t xml:space="preserve"> </w:t>
      </w:r>
      <w:r>
        <w:t xml:space="preserve">With short interest at 25.7% and a wide 52-week trading band ($13.74 to $65.30), HIMS is subject to extreme quarterly volatility. A dollar-cost averaging strategy executed monthly over 12 to 18 months neutralizes short-term litigation headlines and smooths entry valuation through the integration of Eucalyptus.</w:t>
      </w:r>
    </w:p>
    <w:p>
      <w:pPr>
        <w:pStyle w:val="Compact"/>
        <w:numPr>
          <w:ilvl w:val="0"/>
          <w:numId w:val="1054"/>
        </w:numPr>
      </w:pPr>
      <w:r>
        <w:rPr>
          <w:b/>
          <w:bCs/>
        </w:rPr>
        <w:t xml:space="preserve">Fit with User Profile:</w:t>
      </w:r>
      <w:r>
        <w:t xml:space="preserve"> </w:t>
      </w:r>
      <w:r>
        <w:t xml:space="preserve">Ideal for a 10+ year moderate investor who wants to systematically build a position while the company transitions from compounded GLP-1 reliance to diversified international specialty health.</w:t>
      </w:r>
    </w:p>
    <w:p>
      <w:pPr>
        <w:pStyle w:val="Compact"/>
        <w:numPr>
          <w:ilvl w:val="0"/>
          <w:numId w:val="1054"/>
        </w:numPr>
      </w:pPr>
      <w:r>
        <w:rPr>
          <w:b/>
          <w:bCs/>
        </w:rPr>
        <w:t xml:space="preserve">Suggested Maximum Allocation:</w:t>
      </w:r>
      <w:r>
        <w:t xml:space="preserve"> </w:t>
      </w:r>
      <w:r>
        <w:t xml:space="preserve">2.0% of total portfolio.</w:t>
      </w:r>
    </w:p>
    <w:p>
      <w:pPr>
        <w:pStyle w:val="Compact"/>
        <w:numPr>
          <w:ilvl w:val="0"/>
          <w:numId w:val="1054"/>
        </w:numPr>
      </w:pPr>
      <w:r>
        <w:rPr>
          <w:b/>
          <w:bCs/>
        </w:rPr>
        <w:t xml:space="preserve">Reasonable Entry Range or Condition:</w:t>
      </w:r>
      <w:r>
        <w:t xml:space="preserve"> </w:t>
      </w:r>
      <w:r>
        <w:t xml:space="preserve">Deploy 1/12th to 1/18th of targeted capital per month, provided the forward Price-to-Sales multiple remains below 2.5x (implied share price below ~$34.00 based on FY2026 guided sales of $3.2B). If the multiple exceeds 2.5x, pause additions.</w:t>
      </w:r>
    </w:p>
    <w:p>
      <w:pPr>
        <w:pStyle w:val="Compact"/>
        <w:numPr>
          <w:ilvl w:val="0"/>
          <w:numId w:val="1054"/>
        </w:numPr>
      </w:pPr>
      <w:r>
        <w:rPr>
          <w:b/>
          <w:bCs/>
        </w:rPr>
        <w:t xml:space="preserve">What to Monitor:</w:t>
      </w:r>
    </w:p>
    <w:p>
      <w:pPr>
        <w:pStyle w:val="Compact"/>
        <w:numPr>
          <w:ilvl w:val="1"/>
          <w:numId w:val="1055"/>
        </w:numPr>
      </w:pPr>
      <w:r>
        <w:t xml:space="preserve">Net subscriber additions (concern if quarterly growth decelerates below 10% YoY).</w:t>
      </w:r>
    </w:p>
    <w:p>
      <w:pPr>
        <w:pStyle w:val="Compact"/>
        <w:numPr>
          <w:ilvl w:val="1"/>
          <w:numId w:val="1055"/>
        </w:numPr>
      </w:pPr>
      <w:r>
        <w:t xml:space="preserve">Monthly Revenue per Subscriber (concern if ARPU drops below $80).</w:t>
      </w:r>
    </w:p>
    <w:p>
      <w:pPr>
        <w:pStyle w:val="Compact"/>
        <w:numPr>
          <w:ilvl w:val="1"/>
          <w:numId w:val="1055"/>
        </w:numPr>
      </w:pPr>
      <w:r>
        <w:t xml:space="preserve">Balance sheet cash and revolving credit usage against deferred M&amp;A payments.</w:t>
      </w:r>
    </w:p>
    <w:p>
      <w:pPr>
        <w:pStyle w:val="Compact"/>
        <w:numPr>
          <w:ilvl w:val="0"/>
          <w:numId w:val="1054"/>
        </w:numPr>
      </w:pPr>
      <w:r>
        <w:rPr>
          <w:b/>
          <w:bCs/>
        </w:rPr>
        <w:t xml:space="preserve">Thesis Broken If:</w:t>
      </w:r>
      <w:r>
        <w:t xml:space="preserve"> </w:t>
      </w:r>
      <w:r>
        <w:t xml:space="preserve">Organic U.S. subscriber growth turns negative, indicating brand erosion from data privacy litigation, or debt-to-equity escalates rapidly without accompanying EBITDA generation.</w:t>
      </w:r>
    </w:p>
    <w:p>
      <w:pPr>
        <w:pStyle w:val="Compact"/>
        <w:numPr>
          <w:ilvl w:val="0"/>
          <w:numId w:val="1054"/>
        </w:numPr>
      </w:pPr>
      <w:r>
        <w:rPr>
          <w:b/>
          <w:bCs/>
        </w:rPr>
        <w:t xml:space="preserve">Main Risks:</w:t>
      </w:r>
      <w:r>
        <w:t xml:space="preserve"> </w:t>
      </w:r>
      <w:r>
        <w:t xml:space="preserve">Protracted valuation compression if market multiples continue to de-rate across mid-cap digital health; execution slip-ups in international markets.</w:t>
      </w:r>
    </w:p>
    <w:p>
      <w:r>
        <w:pict>
          <v:rect style="width:0;height:1.5pt" o:hralign="center" o:hrstd="t" o:hr="t"/>
        </w:pict>
      </w:r>
    </w:p>
    <w:bookmarkEnd w:id="47"/>
    <w:bookmarkStart w:id="48" w:name="X62d25a234e17bafd31816beb64cf9a96114c0ae"/>
    <w:p>
      <w:pPr>
        <w:pStyle w:val="Heading4"/>
      </w:pPr>
      <w:r>
        <w:t xml:space="preserve">Approach 3: Valuation-Gated Watchlist (Wait for Margin &amp; Legal Clarity)</w:t>
      </w:r>
    </w:p>
    <w:p>
      <w:pPr>
        <w:pStyle w:val="Compact"/>
        <w:numPr>
          <w:ilvl w:val="0"/>
          <w:numId w:val="1056"/>
        </w:numPr>
      </w:pPr>
      <w:r>
        <w:rPr>
          <w:b/>
          <w:bCs/>
        </w:rPr>
        <w:t xml:space="preserve">Name:</w:t>
      </w:r>
      <w:r>
        <w:t xml:space="preserve"> </w:t>
      </w:r>
      <w:r>
        <w:t xml:space="preserve">“Show-Me”</w:t>
      </w:r>
      <w:r>
        <w:t xml:space="preserve"> </w:t>
      </w:r>
      <w:r>
        <w:t xml:space="preserve">Value Entry</w:t>
      </w:r>
    </w:p>
    <w:p>
      <w:pPr>
        <w:pStyle w:val="Compact"/>
        <w:numPr>
          <w:ilvl w:val="0"/>
          <w:numId w:val="1056"/>
        </w:numPr>
      </w:pPr>
      <w:r>
        <w:rPr>
          <w:b/>
          <w:bCs/>
        </w:rPr>
        <w:t xml:space="preserve">Rationale:</w:t>
      </w:r>
      <w:r>
        <w:t xml:space="preserve"> </w:t>
      </w:r>
      <w:r>
        <w:t xml:space="preserve">In Q2 2026, HIMS incurred an operating loss of -$97.19M, free cash flow was -$68.19M, gross margins collapsed by 1,260 bps YoY, and the company took on debt obligations to fund an aggressive $1.15B acquisition. For a moderate investor, capital preservation may justify placing HIMS on a strict watchlist until profitability resumes and regulatory liabilities are quantifiable.</w:t>
      </w:r>
    </w:p>
    <w:p>
      <w:pPr>
        <w:pStyle w:val="Compact"/>
        <w:numPr>
          <w:ilvl w:val="0"/>
          <w:numId w:val="1056"/>
        </w:numPr>
      </w:pPr>
      <w:r>
        <w:rPr>
          <w:b/>
          <w:bCs/>
        </w:rPr>
        <w:t xml:space="preserve">Fit with User Profile:</w:t>
      </w:r>
      <w:r>
        <w:t xml:space="preserve"> </w:t>
      </w:r>
      <w:r>
        <w:t xml:space="preserve">Strongly aligns with the conservative edge of a moderate risk profile, prioritizing margin of safety over being early.</w:t>
      </w:r>
    </w:p>
    <w:p>
      <w:pPr>
        <w:pStyle w:val="Compact"/>
        <w:numPr>
          <w:ilvl w:val="0"/>
          <w:numId w:val="1056"/>
        </w:numPr>
      </w:pPr>
      <w:r>
        <w:rPr>
          <w:b/>
          <w:bCs/>
        </w:rPr>
        <w:t xml:space="preserve">Suggested Maximum Allocation:</w:t>
      </w:r>
      <w:r>
        <w:t xml:space="preserve"> </w:t>
      </w:r>
      <w:r>
        <w:t xml:space="preserve">0.0% current allocation; maximum 1.5% to 2.0% upon condition clearance.</w:t>
      </w:r>
    </w:p>
    <w:p>
      <w:pPr>
        <w:pStyle w:val="Compact"/>
        <w:numPr>
          <w:ilvl w:val="0"/>
          <w:numId w:val="1056"/>
        </w:numPr>
      </w:pPr>
      <w:r>
        <w:rPr>
          <w:b/>
          <w:bCs/>
        </w:rPr>
        <w:t xml:space="preserve">Reasonable Entry Range or Condition:</w:t>
      </w:r>
    </w:p>
    <w:p>
      <w:pPr>
        <w:pStyle w:val="Compact"/>
        <w:numPr>
          <w:ilvl w:val="1"/>
          <w:numId w:val="1057"/>
        </w:numPr>
      </w:pPr>
      <w:r>
        <w:rPr>
          <w:i/>
          <w:iCs/>
        </w:rPr>
        <w:t xml:space="preserve">Valuation Condition:</w:t>
      </w:r>
      <w:r>
        <w:t xml:space="preserve"> </w:t>
      </w:r>
      <w:r>
        <w:t xml:space="preserve">Forward P/S contracting to 1.5x–1.7x (approx. $20.00–$23.00 per share), OR</w:t>
      </w:r>
    </w:p>
    <w:p>
      <w:pPr>
        <w:pStyle w:val="Compact"/>
        <w:numPr>
          <w:ilvl w:val="1"/>
          <w:numId w:val="1057"/>
        </w:numPr>
      </w:pPr>
      <w:r>
        <w:rPr>
          <w:i/>
          <w:iCs/>
        </w:rPr>
        <w:t xml:space="preserve">Fundamental Condition:</w:t>
      </w:r>
      <w:r>
        <w:t xml:space="preserve"> </w:t>
      </w:r>
      <w:r>
        <w:t xml:space="preserve">Company reports full-year GAAP net profitability, positive annualized FCF (&gt; $100M), and resolves the FTC litigation.</w:t>
      </w:r>
    </w:p>
    <w:p>
      <w:pPr>
        <w:pStyle w:val="Compact"/>
        <w:numPr>
          <w:ilvl w:val="0"/>
          <w:numId w:val="1056"/>
        </w:numPr>
      </w:pPr>
      <w:r>
        <w:rPr>
          <w:b/>
          <w:bCs/>
        </w:rPr>
        <w:t xml:space="preserve">What to Monitor:</w:t>
      </w:r>
    </w:p>
    <w:p>
      <w:pPr>
        <w:pStyle w:val="Compact"/>
        <w:numPr>
          <w:ilvl w:val="1"/>
          <w:numId w:val="1058"/>
        </w:numPr>
      </w:pPr>
      <w:r>
        <w:t xml:space="preserve">Form 10-K disclosures regarding DOJ GLP-1 investigation status.</w:t>
      </w:r>
    </w:p>
    <w:p>
      <w:pPr>
        <w:pStyle w:val="Compact"/>
        <w:numPr>
          <w:ilvl w:val="1"/>
          <w:numId w:val="1058"/>
        </w:numPr>
      </w:pPr>
      <w:r>
        <w:t xml:space="preserve">Form 10-Q disclosures regarding quarterly progress on the $710M Eucalyptus deferred payments.</w:t>
      </w:r>
    </w:p>
    <w:p>
      <w:pPr>
        <w:pStyle w:val="Compact"/>
        <w:numPr>
          <w:ilvl w:val="1"/>
          <w:numId w:val="1058"/>
        </w:numPr>
      </w:pPr>
      <w:r>
        <w:t xml:space="preserve">Insider trading filings (Form 4) showing stabilization or open-market insider purchases.</w:t>
      </w:r>
    </w:p>
    <w:p>
      <w:pPr>
        <w:pStyle w:val="Compact"/>
        <w:numPr>
          <w:ilvl w:val="0"/>
          <w:numId w:val="1056"/>
        </w:numPr>
      </w:pPr>
      <w:r>
        <w:rPr>
          <w:b/>
          <w:bCs/>
        </w:rPr>
        <w:t xml:space="preserve">Thesis Broken If:</w:t>
      </w:r>
      <w:r>
        <w:t xml:space="preserve"> </w:t>
      </w:r>
      <w:r>
        <w:t xml:space="preserve">Company fails to regain positive operating cash flow by end of FY2026 or takes substantial impairment write-downs on recent European/Australian acquisitions.</w:t>
      </w:r>
    </w:p>
    <w:p>
      <w:pPr>
        <w:pStyle w:val="Compact"/>
        <w:numPr>
          <w:ilvl w:val="0"/>
          <w:numId w:val="1056"/>
        </w:numPr>
      </w:pPr>
      <w:r>
        <w:rPr>
          <w:b/>
          <w:bCs/>
        </w:rPr>
        <w:t xml:space="preserve">Main Risks:</w:t>
      </w:r>
      <w:r>
        <w:t xml:space="preserve"> </w:t>
      </w:r>
      <w:r>
        <w:t xml:space="preserve">Opportunity risk—missing a swift rebound in the stock if legal investigations resolve favorably or weight loss subscriber growth re-accelerates faster than anticipated.</w:t>
      </w:r>
    </w:p>
    <w:p>
      <w:r>
        <w:pict>
          <v:rect style="width:0;height:1.5pt" o:hralign="center" o:hrstd="t" o:hr="t"/>
        </w:pict>
      </w:r>
    </w:p>
    <w:bookmarkEnd w:id="48"/>
    <w:bookmarkEnd w:id="49"/>
    <w:bookmarkStart w:id="50" w:name="comparison-of-long-term-approaches"/>
    <w:p>
      <w:pPr>
        <w:pStyle w:val="Heading3"/>
      </w:pPr>
      <w:r>
        <w:t xml:space="preserve">Comparison of Long-Term Approaches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Dimension</w:t>
            </w:r>
          </w:p>
        </w:tc>
        <w:tc>
          <w:tcPr/>
          <w:p>
            <w:pPr>
              <w:pStyle w:val="Compact"/>
              <w:jc w:val="left"/>
            </w:pPr>
            <w:r>
              <w:t xml:space="preserve">Approach 1: Staged Milestones Entry</w:t>
            </w:r>
          </w:p>
        </w:tc>
        <w:tc>
          <w:tcPr/>
          <w:p>
            <w:pPr>
              <w:pStyle w:val="Compact"/>
              <w:jc w:val="left"/>
            </w:pPr>
            <w:r>
              <w:t xml:space="preserve">Approach 2: Disciplined DCA (12-18 Mos)</w:t>
            </w:r>
          </w:p>
        </w:tc>
        <w:tc>
          <w:tcPr/>
          <w:p>
            <w:pPr>
              <w:pStyle w:val="Compact"/>
              <w:jc w:val="left"/>
            </w:pPr>
            <w:r>
              <w:t xml:space="preserve">Approach 3: Valuation-Gated Watchlist</w:t>
            </w:r>
          </w:p>
        </w:tc>
      </w:tr>
      <w:tr>
        <w:tc>
          <w:tcPr/>
          <w:p>
            <w:pPr>
              <w:pStyle w:val="Compact"/>
              <w:jc w:val="left"/>
            </w:pPr>
            <w:r>
              <w:rPr>
                <w:b/>
                <w:bCs/>
              </w:rPr>
              <w:t xml:space="preserve">Strategy Type</w:t>
            </w:r>
          </w:p>
        </w:tc>
        <w:tc>
          <w:tcPr/>
          <w:p>
            <w:pPr>
              <w:pStyle w:val="Compact"/>
              <w:jc w:val="left"/>
            </w:pPr>
            <w:r>
              <w:t xml:space="preserve">Starter position with filing-tied tranches</w:t>
            </w:r>
          </w:p>
        </w:tc>
        <w:tc>
          <w:tcPr/>
          <w:p>
            <w:pPr>
              <w:pStyle w:val="Compact"/>
              <w:jc w:val="left"/>
            </w:pPr>
            <w:r>
              <w:t xml:space="preserve">Systematic periodic accumulation</w:t>
            </w:r>
          </w:p>
        </w:tc>
        <w:tc>
          <w:tcPr/>
          <w:p>
            <w:pPr>
              <w:pStyle w:val="Compact"/>
              <w:jc w:val="left"/>
            </w:pPr>
            <w:r>
              <w:t xml:space="preserve">“Do not buy yet”</w:t>
            </w:r>
            <w:r>
              <w:t xml:space="preserve"> </w:t>
            </w:r>
            <w:r>
              <w:t xml:space="preserve">/ Gated entry</w:t>
            </w:r>
          </w:p>
        </w:tc>
      </w:tr>
      <w:tr>
        <w:tc>
          <w:tcPr/>
          <w:p>
            <w:pPr>
              <w:pStyle w:val="Compact"/>
              <w:jc w:val="left"/>
            </w:pPr>
            <w:r>
              <w:rPr>
                <w:b/>
                <w:bCs/>
              </w:rPr>
              <w:t xml:space="preserve">Max Portfolio Allocation</w:t>
            </w:r>
          </w:p>
        </w:tc>
        <w:tc>
          <w:tcPr/>
          <w:p>
            <w:pPr>
              <w:pStyle w:val="Compact"/>
              <w:jc w:val="left"/>
            </w:pPr>
            <w:r>
              <w:t xml:space="preserve">2.0% – 2.5%</w:t>
            </w:r>
          </w:p>
        </w:tc>
        <w:tc>
          <w:tcPr/>
          <w:p>
            <w:pPr>
              <w:pStyle w:val="Compact"/>
              <w:jc w:val="left"/>
            </w:pPr>
            <w:r>
              <w:t xml:space="preserve">2.0%</w:t>
            </w:r>
          </w:p>
        </w:tc>
        <w:tc>
          <w:tcPr/>
          <w:p>
            <w:pPr>
              <w:pStyle w:val="Compact"/>
              <w:jc w:val="left"/>
            </w:pPr>
            <w:r>
              <w:t xml:space="preserve">0.0% now (Max 1.5%–2.0% upon entry)</w:t>
            </w:r>
          </w:p>
        </w:tc>
      </w:tr>
      <w:tr>
        <w:tc>
          <w:tcPr/>
          <w:p>
            <w:pPr>
              <w:pStyle w:val="Compact"/>
              <w:jc w:val="left"/>
            </w:pPr>
            <w:r>
              <w:rPr>
                <w:b/>
                <w:bCs/>
              </w:rPr>
              <w:t xml:space="preserve">Initial Action</w:t>
            </w:r>
          </w:p>
        </w:tc>
        <w:tc>
          <w:tcPr/>
          <w:p>
            <w:pPr>
              <w:pStyle w:val="Compact"/>
              <w:jc w:val="left"/>
            </w:pPr>
            <w:r>
              <w:t xml:space="preserve">Buy 0.75% tranche now ($24–$29)</w:t>
            </w:r>
          </w:p>
        </w:tc>
        <w:tc>
          <w:tcPr/>
          <w:p>
            <w:pPr>
              <w:pStyle w:val="Compact"/>
              <w:jc w:val="left"/>
            </w:pPr>
            <w:r>
              <w:t xml:space="preserve">Deploy 1/12th–1/18th monthly</w:t>
            </w:r>
          </w:p>
        </w:tc>
        <w:tc>
          <w:tcPr/>
          <w:p>
            <w:pPr>
              <w:pStyle w:val="Compact"/>
              <w:jc w:val="left"/>
            </w:pPr>
            <w:r>
              <w:t xml:space="preserve">No purchase; set tracking alerts</w:t>
            </w:r>
          </w:p>
        </w:tc>
      </w:tr>
      <w:tr>
        <w:tc>
          <w:tcPr/>
          <w:p>
            <w:pPr>
              <w:pStyle w:val="Compact"/>
              <w:jc w:val="left"/>
            </w:pPr>
            <w:r>
              <w:rPr>
                <w:b/>
                <w:bCs/>
              </w:rPr>
              <w:t xml:space="preserve">Key Entry Threshold</w:t>
            </w:r>
          </w:p>
        </w:tc>
        <w:tc>
          <w:tcPr/>
          <w:p>
            <w:pPr>
              <w:pStyle w:val="Compact"/>
              <w:jc w:val="left"/>
            </w:pPr>
            <w:r>
              <w:t xml:space="preserve">Gross margin &gt;66% &amp; litigation resolution</w:t>
            </w:r>
          </w:p>
        </w:tc>
        <w:tc>
          <w:tcPr/>
          <w:p>
            <w:pPr>
              <w:pStyle w:val="Compact"/>
              <w:jc w:val="left"/>
            </w:pPr>
            <w:r>
              <w:t xml:space="preserve">Forward P/S &lt; 2.5x (&lt; ~$34)</w:t>
            </w:r>
          </w:p>
        </w:tc>
        <w:tc>
          <w:tcPr/>
          <w:p>
            <w:pPr>
              <w:pStyle w:val="Compact"/>
              <w:jc w:val="left"/>
            </w:pPr>
            <w:r>
              <w:t xml:space="preserve">Forward P/S &lt; 1.7x (~$21) OR GAAP Net Income</w:t>
            </w:r>
          </w:p>
        </w:tc>
      </w:tr>
      <w:tr>
        <w:tc>
          <w:tcPr/>
          <w:p>
            <w:pPr>
              <w:pStyle w:val="Compact"/>
              <w:jc w:val="left"/>
            </w:pPr>
            <w:r>
              <w:rPr>
                <w:b/>
                <w:bCs/>
              </w:rPr>
              <w:t xml:space="preserve">Primary Metric to Track</w:t>
            </w:r>
          </w:p>
        </w:tc>
        <w:tc>
          <w:tcPr/>
          <w:p>
            <w:pPr>
              <w:pStyle w:val="Compact"/>
              <w:jc w:val="left"/>
            </w:pPr>
            <w:r>
              <w:t xml:space="preserve">Gross margin % and FCF inflection</w:t>
            </w:r>
          </w:p>
        </w:tc>
        <w:tc>
          <w:tcPr/>
          <w:p>
            <w:pPr>
              <w:pStyle w:val="Compact"/>
              <w:jc w:val="left"/>
            </w:pPr>
            <w:r>
              <w:t xml:space="preserve">Subscriber growth % &amp; ARPU</w:t>
            </w:r>
          </w:p>
        </w:tc>
        <w:tc>
          <w:tcPr/>
          <w:p>
            <w:pPr>
              <w:pStyle w:val="Compact"/>
              <w:jc w:val="left"/>
            </w:pPr>
            <w:r>
              <w:t xml:space="preserve">DOJ/FTC settlement terms &amp; FCF &gt;$100M</w:t>
            </w:r>
          </w:p>
        </w:tc>
      </w:tr>
      <w:tr>
        <w:tc>
          <w:tcPr/>
          <w:p>
            <w:pPr>
              <w:pStyle w:val="Compact"/>
              <w:jc w:val="left"/>
            </w:pPr>
            <w:r>
              <w:rPr>
                <w:b/>
                <w:bCs/>
              </w:rPr>
              <w:t xml:space="preserve">Fit for Moderate (10+ Yr)</w:t>
            </w:r>
          </w:p>
        </w:tc>
        <w:tc>
          <w:tcPr/>
          <w:p>
            <w:pPr>
              <w:pStyle w:val="Compact"/>
              <w:jc w:val="left"/>
            </w:pPr>
            <w:r>
              <w:rPr>
                <w:b/>
                <w:bCs/>
              </w:rPr>
              <w:t xml:space="preserve">Best balance</w:t>
            </w:r>
            <w:r>
              <w:t xml:space="preserve"> </w:t>
            </w:r>
            <w:r>
              <w:t xml:space="preserve">of participation &amp; risk gating</w:t>
            </w:r>
          </w:p>
        </w:tc>
        <w:tc>
          <w:tcPr/>
          <w:p>
            <w:pPr>
              <w:pStyle w:val="Compact"/>
              <w:jc w:val="left"/>
            </w:pPr>
            <w:r>
              <w:t xml:space="preserve">Good for smoothing high volatility</w:t>
            </w:r>
          </w:p>
        </w:tc>
        <w:tc>
          <w:tcPr/>
          <w:p>
            <w:pPr>
              <w:pStyle w:val="Compact"/>
              <w:jc w:val="left"/>
            </w:pPr>
            <w:r>
              <w:t xml:space="preserve">Best for strict capital preservation</w:t>
            </w:r>
          </w:p>
        </w:tc>
      </w:tr>
    </w:tbl>
    <w:p>
      <w:r>
        <w:pict>
          <v:rect style="width:0;height:1.5pt" o:hralign="center" o:hrstd="t" o:hr="t"/>
        </w:pict>
      </w:r>
    </w:p>
    <w:p>
      <w:pPr>
        <w:pStyle w:val="FirstParagraph"/>
      </w:pPr>
      <w:r>
        <w:t xml:space="preserve">Important Disclaimer: For Educational and Informational Purposes Only. This analysis is generated by an AI model and is not financial, investment, tax or legal advice, or a recommendation to buy or sell any security. It may contain errors. Verify important facts and consult a qualified professional before making investment decisions.</w:t>
      </w:r>
    </w:p>
    <w:p>
      <w:r>
        <w:br w:type="page"/>
      </w:r>
    </w:p>
    <w:bookmarkEnd w:id="50"/>
    <w:bookmarkEnd w:id="51"/>
    <w:bookmarkStart w:id="74" w:name="X8c17be9d440b052d6cce223d910cbb419af8f76"/>
    <w:p>
      <w:pPr>
        <w:pStyle w:val="Heading1"/>
      </w:pPr>
      <w:r>
        <w:t xml:space="preserve">Appendix D: Position Plan (Gemini educational scenario)</w:t>
      </w:r>
    </w:p>
    <w:bookmarkStart w:id="52" w:name="Xe4a0b7fdd3b379ed2b45488f76806a0cce0e434"/>
    <w:p>
      <w:pPr>
        <w:pStyle w:val="Heading3"/>
      </w:pPr>
      <w:r>
        <w:t xml:space="preserve">Position Execution &amp; Management Plan: Hims &amp; Hers Health, Inc. (NYSE: HIMS)</w:t>
      </w:r>
    </w:p>
    <w:p>
      <w:pPr>
        <w:pStyle w:val="FirstParagraph"/>
      </w:pPr>
      <w:r>
        <w:rPr>
          <w:b/>
          <w:bCs/>
        </w:rPr>
        <w:t xml:space="preserve">Investor Profile Context:</w:t>
      </w:r>
      <w:r>
        <w:t xml:space="preserve"> </w:t>
      </w:r>
      <w:r>
        <w:t xml:space="preserve">*</w:t>
      </w:r>
      <w:r>
        <w:t xml:space="preserve"> </w:t>
      </w:r>
      <w:r>
        <w:rPr>
          <w:b/>
          <w:bCs/>
        </w:rPr>
        <w:t xml:space="preserve">Risk Attitude:</w:t>
      </w:r>
      <w:r>
        <w:t xml:space="preserve"> </w:t>
      </w:r>
      <w:r>
        <w:t xml:space="preserve">Moderate</w:t>
      </w:r>
      <w:r>
        <w:br/>
      </w:r>
      <w:r>
        <w:t xml:space="preserve">*</w:t>
      </w:r>
      <w:r>
        <w:t xml:space="preserve"> </w:t>
      </w:r>
      <w:r>
        <w:rPr>
          <w:b/>
          <w:bCs/>
        </w:rPr>
        <w:t xml:space="preserve">Investment Horizon:</w:t>
      </w:r>
      <w:r>
        <w:t xml:space="preserve"> </w:t>
      </w:r>
      <w:r>
        <w:t xml:space="preserve">10+ Years</w:t>
      </w:r>
      <w:r>
        <w:br/>
      </w:r>
      <w:r>
        <w:t xml:space="preserve">*</w:t>
      </w:r>
      <w:r>
        <w:t xml:space="preserve"> </w:t>
      </w:r>
      <w:r>
        <w:rPr>
          <w:b/>
          <w:bCs/>
        </w:rPr>
        <w:t xml:space="preserve">Order Preference:</w:t>
      </w:r>
      <w:r>
        <w:t xml:space="preserve"> </w:t>
      </w:r>
      <w:r>
        <w:t xml:space="preserve">Limit Orders</w:t>
      </w:r>
      <w:r>
        <w:br/>
      </w:r>
      <w:r>
        <w:t xml:space="preserve">*</w:t>
      </w:r>
      <w:r>
        <w:t xml:space="preserve"> </w:t>
      </w:r>
      <w:r>
        <w:rPr>
          <w:b/>
          <w:bCs/>
        </w:rPr>
        <w:t xml:space="preserve">Account Type:</w:t>
      </w:r>
      <w:r>
        <w:t xml:space="preserve"> </w:t>
      </w:r>
      <w:r>
        <w:t xml:space="preserve">Unspecified (both taxable and tax-advantaged frameworks addressed below)</w:t>
      </w:r>
      <w:r>
        <w:br/>
      </w:r>
      <w:r>
        <w:t xml:space="preserve">*</w:t>
      </w:r>
      <w:r>
        <w:t xml:space="preserve"> </w:t>
      </w:r>
      <w:r>
        <w:rPr>
          <w:b/>
          <w:bCs/>
        </w:rPr>
        <w:t xml:space="preserve">Position Sizing Standard:</w:t>
      </w:r>
      <w:r>
        <w:t xml:space="preserve"> </w:t>
      </w:r>
      <w:r>
        <w:t xml:space="preserve">All targets and caps are expressed strictly as a percentage of total portfolio assets.</w:t>
      </w:r>
    </w:p>
    <w:p>
      <w:r>
        <w:pict>
          <v:rect style="width:0;height:1.5pt" o:hralign="center" o:hrstd="t" o:hr="t"/>
        </w:pict>
      </w:r>
    </w:p>
    <w:bookmarkEnd w:id="52"/>
    <w:bookmarkStart w:id="53" w:name="X8d3820033bd65d4bf77d1eca0823545157777ac"/>
    <w:p>
      <w:pPr>
        <w:pStyle w:val="Heading3"/>
      </w:pPr>
      <w:r>
        <w:t xml:space="preserve">Understanding Limit Orders for Long-Term Accumulation</w:t>
      </w:r>
    </w:p>
    <w:p>
      <w:pPr>
        <w:pStyle w:val="FirstParagraph"/>
      </w:pPr>
      <w:r>
        <w:t xml:space="preserve">A</w:t>
      </w:r>
      <w:r>
        <w:t xml:space="preserve"> </w:t>
      </w:r>
      <w:r>
        <w:rPr>
          <w:b/>
          <w:bCs/>
        </w:rPr>
        <w:t xml:space="preserve">limit order</w:t>
      </w:r>
      <w:r>
        <w:t xml:space="preserve"> </w:t>
      </w:r>
      <w:r>
        <w:t xml:space="preserve">instructs your broker to buy a stock only at your specified target price or lower, or sell only at your specified target price or higher. For a volatile stock like HIMS (with a 52-week trading band between $13.74 and $65.30 and elevated short interest exceeding 25%), limit orders protect you against intraday price spikes and wide bid-ask spreads. When executing staged entries, Good-’Til-Canceled (GTC) limit orders or 30-to-60-day limit orders allow you to establish target entry valuations methodically rather than chasing daily market fluctuations.</w:t>
      </w:r>
    </w:p>
    <w:p>
      <w:r>
        <w:pict>
          <v:rect style="width:0;height:1.5pt" o:hralign="center" o:hrstd="t" o:hr="t"/>
        </w:pict>
      </w:r>
    </w:p>
    <w:bookmarkEnd w:id="53"/>
    <w:bookmarkStart w:id="59" w:name="X34882896d029a6084ec0eb23e2c0faffac399dc"/>
    <w:p>
      <w:pPr>
        <w:pStyle w:val="Heading3"/>
      </w:pPr>
      <w:r>
        <w:t xml:space="preserve">Plan 1: Staged Milestones Entry (Starter Position + Fundamental Gating)</w:t>
      </w:r>
    </w:p>
    <w:bookmarkStart w:id="54" w:name="building-the-position"/>
    <w:p>
      <w:pPr>
        <w:pStyle w:val="Heading4"/>
      </w:pPr>
      <w:r>
        <w:t xml:space="preserve">1. Building the Position</w:t>
      </w:r>
    </w:p>
    <w:p>
      <w:pPr>
        <w:pStyle w:val="Compact"/>
        <w:numPr>
          <w:ilvl w:val="0"/>
          <w:numId w:val="1059"/>
        </w:numPr>
      </w:pPr>
      <w:r>
        <w:rPr>
          <w:b/>
          <w:bCs/>
        </w:rPr>
        <w:t xml:space="preserve">Structure &amp; Rationale:</w:t>
      </w:r>
      <w:r>
        <w:t xml:space="preserve"> </w:t>
      </w:r>
      <w:r>
        <w:t xml:space="preserve">Staged purchases over 3 distinct fundamental phases rather than a lump sum. HIMS is currently experiencing gross margin compression (63.8% in Q2 2026 vs. 76.4% in Q2 2025), ongoing Department of Justice (DOJ) and Federal Trade Commission (FTC) scrutiny, and negative quarterly free cash flow (-$68.19M in Q2 2026). Staging protects a moderate investor by tying capital deployment to concrete proof that regulatory and operational headwinds are clearing.</w:t>
      </w:r>
    </w:p>
    <w:p>
      <w:pPr>
        <w:pStyle w:val="Compact"/>
        <w:numPr>
          <w:ilvl w:val="0"/>
          <w:numId w:val="1059"/>
        </w:numPr>
      </w:pPr>
      <w:r>
        <w:rPr>
          <w:b/>
          <w:bCs/>
        </w:rPr>
        <w:t xml:space="preserve">Target &amp; Maximum Allocation:</w:t>
      </w:r>
      <w:r>
        <w:t xml:space="preserve"> </w:t>
      </w:r>
      <w:r>
        <w:t xml:space="preserve">Base target of</w:t>
      </w:r>
      <w:r>
        <w:t xml:space="preserve"> </w:t>
      </w:r>
      <w:r>
        <w:rPr>
          <w:b/>
          <w:bCs/>
        </w:rPr>
        <w:t xml:space="preserve">1.5%</w:t>
      </w:r>
      <w:r>
        <w:t xml:space="preserve"> </w:t>
      </w:r>
      <w:r>
        <w:t xml:space="preserve">of total portfolio assets; hard ceiling allocation cap of</w:t>
      </w:r>
      <w:r>
        <w:t xml:space="preserve"> </w:t>
      </w:r>
      <w:r>
        <w:rPr>
          <w:b/>
          <w:bCs/>
        </w:rPr>
        <w:t xml:space="preserve">2.5%</w:t>
      </w:r>
      <w:r>
        <w:t xml:space="preserve">.</w:t>
      </w:r>
    </w:p>
    <w:p>
      <w:pPr>
        <w:pStyle w:val="Compact"/>
        <w:numPr>
          <w:ilvl w:val="0"/>
          <w:numId w:val="1059"/>
        </w:numPr>
      </w:pPr>
      <w:r>
        <w:rPr>
          <w:b/>
          <w:bCs/>
        </w:rPr>
        <w:t xml:space="preserve">Limit Order Execution Schedule:</w:t>
      </w:r>
    </w:p>
    <w:p>
      <w:pPr>
        <w:pStyle w:val="Compact"/>
        <w:numPr>
          <w:ilvl w:val="1"/>
          <w:numId w:val="1060"/>
        </w:numPr>
      </w:pPr>
      <w:r>
        <w:rPr>
          <w:b/>
          <w:bCs/>
        </w:rPr>
        <w:t xml:space="preserve">Tranche 1 (0.75% allocation - Starter):</w:t>
      </w:r>
      <w:r>
        <w:t xml:space="preserve"> </w:t>
      </w:r>
      <w:r>
        <w:t xml:space="preserve">Place a GTC limit order in the range of</w:t>
      </w:r>
      <w:r>
        <w:t xml:space="preserve"> </w:t>
      </w:r>
      <w:r>
        <w:rPr>
          <w:b/>
          <w:bCs/>
        </w:rPr>
        <w:t xml:space="preserve">$24.00 – $28.50</w:t>
      </w:r>
      <w:r>
        <w:t xml:space="preserve"> </w:t>
      </w:r>
      <w:r>
        <w:t xml:space="preserve">(equivalent to a forward Price-to-Sales multiple between 1.8x and 2.1x based on FY2026 guided revenue of $3.2B). If the stock trades above $28.50, be patient and allow the order to sit.</w:t>
      </w:r>
    </w:p>
    <w:p>
      <w:pPr>
        <w:pStyle w:val="Compact"/>
        <w:numPr>
          <w:ilvl w:val="1"/>
          <w:numId w:val="1060"/>
        </w:numPr>
      </w:pPr>
      <w:r>
        <w:rPr>
          <w:b/>
          <w:bCs/>
        </w:rPr>
        <w:t xml:space="preserve">Tranche 2 (0.75% allocation - Margin Inflection):</w:t>
      </w:r>
      <w:r>
        <w:t xml:space="preserve"> </w:t>
      </w:r>
      <w:r>
        <w:t xml:space="preserve">Deploy only after reviewing a subsequent Form 10-Q showing two consecutive quarters of consolidated gross margin stabilizing at or above</w:t>
      </w:r>
      <w:r>
        <w:t xml:space="preserve"> </w:t>
      </w:r>
      <w:r>
        <w:rPr>
          <w:b/>
          <w:bCs/>
        </w:rPr>
        <w:t xml:space="preserve">66.0%</w:t>
      </w:r>
      <w:r>
        <w:t xml:space="preserve"> </w:t>
      </w:r>
      <w:r>
        <w:t xml:space="preserve">alongside positive quarterly operating cash flow. Place a limit order at or below</w:t>
      </w:r>
      <w:r>
        <w:t xml:space="preserve"> </w:t>
      </w:r>
      <w:r>
        <w:rPr>
          <w:b/>
          <w:bCs/>
        </w:rPr>
        <w:t xml:space="preserve">$30.00</w:t>
      </w:r>
      <w:r>
        <w:t xml:space="preserve"> </w:t>
      </w:r>
      <w:r>
        <w:t xml:space="preserve">once this milestone is verified.</w:t>
      </w:r>
    </w:p>
    <w:p>
      <w:pPr>
        <w:pStyle w:val="Compact"/>
        <w:numPr>
          <w:ilvl w:val="1"/>
          <w:numId w:val="1060"/>
        </w:numPr>
      </w:pPr>
      <w:r>
        <w:rPr>
          <w:b/>
          <w:bCs/>
        </w:rPr>
        <w:t xml:space="preserve">Tranche 3 (Up to 1.0% allocation - Regulatory Resolution):</w:t>
      </w:r>
      <w:r>
        <w:t xml:space="preserve"> </w:t>
      </w:r>
      <w:r>
        <w:t xml:space="preserve">Conditioned on formal disclosure in an SEC filing (Form 8-K or 10-Q) confirming a legal settlement or resolution of the FTC litigation and DOJ GLP-1 inquiry without structural restrictions on personalized compounded products. Deploy via limit orders set at or below a forward P/S of</w:t>
      </w:r>
      <w:r>
        <w:t xml:space="preserve"> </w:t>
      </w:r>
      <w:r>
        <w:rPr>
          <w:b/>
          <w:bCs/>
        </w:rPr>
        <w:t xml:space="preserve">2.5x</w:t>
      </w:r>
      <w:r>
        <w:t xml:space="preserve"> </w:t>
      </w:r>
      <w:r>
        <w:t xml:space="preserve">(or approximately</w:t>
      </w:r>
      <w:r>
        <w:t xml:space="preserve"> </w:t>
      </w:r>
      <w:r>
        <w:rPr>
          <w:b/>
          <w:bCs/>
        </w:rPr>
        <w:t xml:space="preserve">$34.00</w:t>
      </w:r>
      <w:r>
        <w:t xml:space="preserve">).</w:t>
      </w:r>
    </w:p>
    <w:bookmarkEnd w:id="54"/>
    <w:bookmarkStart w:id="55" w:name="holding-and-reviewing"/>
    <w:p>
      <w:pPr>
        <w:pStyle w:val="Heading4"/>
      </w:pPr>
      <w:r>
        <w:t xml:space="preserve">2. Holding and Reviewing</w:t>
      </w:r>
    </w:p>
    <w:p>
      <w:pPr>
        <w:pStyle w:val="FirstParagraph"/>
      </w:pPr>
      <w:r>
        <w:t xml:space="preserve">Review the holding quarterly upon the release of Form 10-Q and annually upon Form 10-K filings. Ignore day-to-day headlines and stock price swings. Use the following quantitative checklist:</w:t>
      </w:r>
      <w:r>
        <w:t xml:space="preserve"> </w:t>
      </w:r>
      <w:r>
        <w:t xml:space="preserve">*</w:t>
      </w:r>
      <w:r>
        <w:t xml:space="preserve"> </w:t>
      </w:r>
      <w:r>
        <w:rPr>
          <w:b/>
          <w:bCs/>
        </w:rPr>
        <w:t xml:space="preserve">Consolidated Gross Margin:</w:t>
      </w:r>
      <w:r>
        <w:t xml:space="preserve"> </w:t>
      </w:r>
      <w:r>
        <w:t xml:space="preserve">Must stabilize and trend toward</w:t>
      </w:r>
      <w:r>
        <w:t xml:space="preserve"> </w:t>
      </w:r>
      <w:r>
        <w:rPr>
          <w:b/>
          <w:bCs/>
        </w:rPr>
        <w:t xml:space="preserve">66%–70%</w:t>
      </w:r>
      <w:r>
        <w:t xml:space="preserve">. A sustained level below</w:t>
      </w:r>
      <w:r>
        <w:t xml:space="preserve"> </w:t>
      </w:r>
      <w:r>
        <w:rPr>
          <w:b/>
          <w:bCs/>
        </w:rPr>
        <w:t xml:space="preserve">62.0%</w:t>
      </w:r>
      <w:r>
        <w:t xml:space="preserve"> </w:t>
      </w:r>
      <w:r>
        <w:t xml:space="preserve">across two consecutive quarters prompts an immediate freeze on new capital and an evaluation of pricing power.</w:t>
      </w:r>
      <w:r>
        <w:t xml:space="preserve"> </w:t>
      </w:r>
      <w:r>
        <w:t xml:space="preserve">*</w:t>
      </w:r>
      <w:r>
        <w:t xml:space="preserve"> </w:t>
      </w:r>
      <w:r>
        <w:rPr>
          <w:b/>
          <w:bCs/>
        </w:rPr>
        <w:t xml:space="preserve">Free Cash Flow (FCF) Conversion:</w:t>
      </w:r>
      <w:r>
        <w:t xml:space="preserve"> </w:t>
      </w:r>
      <w:r>
        <w:t xml:space="preserve">FCF must recover from negative territory (-$68.19M in Q2 2026) to break-even or positive. Two additional consecutive quarters of negative operating cash flow warrant a formal position reassessment.</w:t>
      </w:r>
      <w:r>
        <w:t xml:space="preserve"> </w:t>
      </w:r>
      <w:r>
        <w:t xml:space="preserve">*</w:t>
      </w:r>
      <w:r>
        <w:t xml:space="preserve"> </w:t>
      </w:r>
      <w:r>
        <w:rPr>
          <w:b/>
          <w:bCs/>
        </w:rPr>
        <w:t xml:space="preserve">Subscriber Growth &amp; ARPU:</w:t>
      </w:r>
      <w:r>
        <w:t xml:space="preserve"> </w:t>
      </w:r>
      <w:r>
        <w:t xml:space="preserve">Monthly revenue per average subscriber must remain above</w:t>
      </w:r>
      <w:r>
        <w:t xml:space="preserve"> </w:t>
      </w:r>
      <w:r>
        <w:rPr>
          <w:b/>
          <w:bCs/>
        </w:rPr>
        <w:t xml:space="preserve">$85</w:t>
      </w:r>
      <w:r>
        <w:t xml:space="preserve"> </w:t>
      </w:r>
      <w:r>
        <w:t xml:space="preserve">(currently $92), and total active subscriber count should expand at least</w:t>
      </w:r>
      <w:r>
        <w:t xml:space="preserve"> </w:t>
      </w:r>
      <w:r>
        <w:rPr>
          <w:b/>
          <w:bCs/>
        </w:rPr>
        <w:t xml:space="preserve">12% year-over-year</w:t>
      </w:r>
      <w:r>
        <w:t xml:space="preserve"> </w:t>
      </w:r>
      <w:r>
        <w:t xml:space="preserve">(currently 2.89M, +18.5%).</w:t>
      </w:r>
      <w:r>
        <w:t xml:space="preserve"> </w:t>
      </w:r>
      <w:r>
        <w:t xml:space="preserve">*</w:t>
      </w:r>
      <w:r>
        <w:t xml:space="preserve"> </w:t>
      </w:r>
      <w:r>
        <w:rPr>
          <w:b/>
          <w:bCs/>
        </w:rPr>
        <w:t xml:space="preserve">Eucalyptus Liabilities:</w:t>
      </w:r>
      <w:r>
        <w:t xml:space="preserve"> </w:t>
      </w:r>
      <w:r>
        <w:t xml:space="preserve">Monitor quarterly disclosures regarding the</w:t>
      </w:r>
      <w:r>
        <w:t xml:space="preserve"> </w:t>
      </w:r>
      <w:r>
        <w:rPr>
          <w:b/>
          <w:bCs/>
        </w:rPr>
        <w:t xml:space="preserve">$710M in deferred acquisition payments</w:t>
      </w:r>
      <w:r>
        <w:t xml:space="preserve"> </w:t>
      </w:r>
      <w:r>
        <w:t xml:space="preserve">over the next 18 months. Verify whether payments are settled through operating cash or if dilutive share issuance exceeds 5% of total share count.</w:t>
      </w:r>
    </w:p>
    <w:bookmarkEnd w:id="55"/>
    <w:bookmarkStart w:id="56" w:name="adding-more"/>
    <w:p>
      <w:pPr>
        <w:pStyle w:val="Heading4"/>
      </w:pPr>
      <w:r>
        <w:t xml:space="preserve">3. Adding More</w:t>
      </w:r>
    </w:p>
    <w:p>
      <w:pPr>
        <w:pStyle w:val="Compact"/>
        <w:numPr>
          <w:ilvl w:val="0"/>
          <w:numId w:val="1061"/>
        </w:numPr>
      </w:pPr>
      <w:r>
        <w:rPr>
          <w:b/>
          <w:bCs/>
        </w:rPr>
        <w:t xml:space="preserve">Conditions to Add:</w:t>
      </w:r>
      <w:r>
        <w:t xml:space="preserve"> </w:t>
      </w:r>
      <w:r>
        <w:t xml:space="preserve">Adding is only justified if (a) the company reports two consecutive quarters of GAAP operating profitability, (b) free cash flow turns sustainably positive, and (c) the stock trades at or below a forward P/S of</w:t>
      </w:r>
      <w:r>
        <w:t xml:space="preserve"> </w:t>
      </w:r>
      <w:r>
        <w:rPr>
          <w:b/>
          <w:bCs/>
        </w:rPr>
        <w:t xml:space="preserve">1.8x</w:t>
      </w:r>
      <w:r>
        <w:t xml:space="preserve"> </w:t>
      </w:r>
      <w:r>
        <w:t xml:space="preserve">(approx.</w:t>
      </w:r>
      <w:r>
        <w:t xml:space="preserve"> </w:t>
      </w:r>
      <w:r>
        <w:rPr>
          <w:b/>
          <w:bCs/>
        </w:rPr>
        <w:t xml:space="preserve">$24.00</w:t>
      </w:r>
      <w:r>
        <w:t xml:space="preserve">).</w:t>
      </w:r>
    </w:p>
    <w:p>
      <w:pPr>
        <w:pStyle w:val="Compact"/>
        <w:numPr>
          <w:ilvl w:val="0"/>
          <w:numId w:val="1061"/>
        </w:numPr>
      </w:pPr>
      <w:r>
        <w:rPr>
          <w:b/>
          <w:bCs/>
        </w:rPr>
        <w:t xml:space="preserve">Absolute Portfolio Cap:</w:t>
      </w:r>
      <w:r>
        <w:t xml:space="preserve"> </w:t>
      </w:r>
      <w:r>
        <w:t xml:space="preserve">Under no circumstances should the total position exceed</w:t>
      </w:r>
      <w:r>
        <w:t xml:space="preserve"> </w:t>
      </w:r>
      <w:r>
        <w:rPr>
          <w:b/>
          <w:bCs/>
        </w:rPr>
        <w:t xml:space="preserve">2.5%</w:t>
      </w:r>
      <w:r>
        <w:t xml:space="preserve"> </w:t>
      </w:r>
      <w:r>
        <w:t xml:space="preserve">of the overall portfolio.</w:t>
      </w:r>
    </w:p>
    <w:bookmarkEnd w:id="56"/>
    <w:bookmarkStart w:id="57" w:name="trimming-and-rebalancing"/>
    <w:p>
      <w:pPr>
        <w:pStyle w:val="Heading4"/>
      </w:pPr>
      <w:r>
        <w:t xml:space="preserve">4. Trimming and Rebalancing</w:t>
      </w:r>
    </w:p>
    <w:p>
      <w:pPr>
        <w:pStyle w:val="Compact"/>
        <w:numPr>
          <w:ilvl w:val="0"/>
          <w:numId w:val="1062"/>
        </w:numPr>
      </w:pPr>
      <w:r>
        <w:rPr>
          <w:b/>
          <w:bCs/>
        </w:rPr>
        <w:t xml:space="preserve">Trimming Triggers:</w:t>
      </w:r>
      <w:r>
        <w:t xml:space="preserve"> </w:t>
      </w:r>
      <w:r>
        <w:t xml:space="preserve">If price appreciation causes the position to exceed</w:t>
      </w:r>
      <w:r>
        <w:t xml:space="preserve"> </w:t>
      </w:r>
      <w:r>
        <w:rPr>
          <w:b/>
          <w:bCs/>
        </w:rPr>
        <w:t xml:space="preserve">4.0%</w:t>
      </w:r>
      <w:r>
        <w:t xml:space="preserve"> </w:t>
      </w:r>
      <w:r>
        <w:t xml:space="preserve">of total portfolio assets, or if the valuation expands to an extreme level (forward Price-to-Sales exceeding</w:t>
      </w:r>
      <w:r>
        <w:t xml:space="preserve"> </w:t>
      </w:r>
      <w:r>
        <w:rPr>
          <w:b/>
          <w:bCs/>
        </w:rPr>
        <w:t xml:space="preserve">4.0x</w:t>
      </w:r>
      <w:r>
        <w:t xml:space="preserve">, or share price climbing above</w:t>
      </w:r>
      <w:r>
        <w:t xml:space="preserve"> </w:t>
      </w:r>
      <w:r>
        <w:rPr>
          <w:b/>
          <w:bCs/>
        </w:rPr>
        <w:t xml:space="preserve">$55.00</w:t>
      </w:r>
      <w:r>
        <w:t xml:space="preserve"> </w:t>
      </w:r>
      <w:r>
        <w:t xml:space="preserve">without a corresponding surge in gross margins above 72%).</w:t>
      </w:r>
    </w:p>
    <w:p>
      <w:pPr>
        <w:pStyle w:val="Compact"/>
        <w:numPr>
          <w:ilvl w:val="0"/>
          <w:numId w:val="1062"/>
        </w:numPr>
      </w:pPr>
      <w:r>
        <w:rPr>
          <w:b/>
          <w:bCs/>
        </w:rPr>
        <w:t xml:space="preserve">Execution:</w:t>
      </w:r>
      <w:r>
        <w:t xml:space="preserve"> </w:t>
      </w:r>
      <w:r>
        <w:t xml:space="preserve">Systematically trim 25% to 33% of the position using limit orders set near peak valuation points to bring the holding back to its baseline target of</w:t>
      </w:r>
      <w:r>
        <w:t xml:space="preserve"> </w:t>
      </w:r>
      <w:r>
        <w:rPr>
          <w:b/>
          <w:bCs/>
        </w:rPr>
        <w:t xml:space="preserve">1.5%–2.0%</w:t>
      </w:r>
      <w:r>
        <w:t xml:space="preserve">. In taxable accounts, designate specific tax lots (Highest-In, First-Out or long-term lots) to optimize tax outcomes.</w:t>
      </w:r>
    </w:p>
    <w:bookmarkEnd w:id="57"/>
    <w:bookmarkStart w:id="58" w:name="exiting-thesis-broken-signals"/>
    <w:p>
      <w:pPr>
        <w:pStyle w:val="Heading4"/>
      </w:pPr>
      <w:r>
        <w:t xml:space="preserve">5. Exiting (Thesis Broken Signals)</w:t>
      </w:r>
    </w:p>
    <w:p>
      <w:pPr>
        <w:pStyle w:val="FirstParagraph"/>
      </w:pPr>
      <w:r>
        <w:t xml:space="preserve">Sell the position completely if any of the following occur:</w:t>
      </w:r>
      <w:r>
        <w:t xml:space="preserve"> </w:t>
      </w:r>
      <w:r>
        <w:t xml:space="preserve">1. The FDA or DOJ issues a formal injunction or binding restriction that prohibits HIMS from dispensing personalized, mass-market compounded medications, dismantling its core unit economics.</w:t>
      </w:r>
      <w:r>
        <w:t xml:space="preserve"> </w:t>
      </w:r>
      <w:r>
        <w:t xml:space="preserve">2. The FTC complaint results in structural prohibitions or severe restrictions on its digital advertising, customer intake funnels, or subscription auto-renewal mechanisms that cause net organic subscribers to decline for two consecutive quarters.</w:t>
      </w:r>
      <w:r>
        <w:t xml:space="preserve"> </w:t>
      </w:r>
      <w:r>
        <w:t xml:space="preserve">3. The company experiences liquidity distress resulting in high-cost emergency debt financing or massive equity dilution (&gt;15% share count expansion) to meet the $710M Eucalyptus deferred liability.</w:t>
      </w:r>
      <w:r>
        <w:t xml:space="preserve"> </w:t>
      </w:r>
      <w:r>
        <w:t xml:space="preserve">*</w:t>
      </w:r>
      <w:r>
        <w:t xml:space="preserve"> </w:t>
      </w:r>
      <w:r>
        <w:rPr>
          <w:i/>
          <w:iCs/>
        </w:rPr>
        <w:t xml:space="preserve">Note on Price Action:</w:t>
      </w:r>
      <w:r>
        <w:t xml:space="preserve"> </w:t>
      </w:r>
      <w:r>
        <w:t xml:space="preserve">A sharp price drop alone is never a valid reason to sell if underlying financial fundamentals and subscriber metrics remain intact. Conversely, a rapid price rally is never a valid reason to buy without corresponding cash-flow generation.</w:t>
      </w:r>
    </w:p>
    <w:p>
      <w:r>
        <w:pict>
          <v:rect style="width:0;height:1.5pt" o:hralign="center" o:hrstd="t" o:hr="t"/>
        </w:pict>
      </w:r>
    </w:p>
    <w:bookmarkEnd w:id="58"/>
    <w:bookmarkEnd w:id="59"/>
    <w:bookmarkStart w:id="65" w:name="Xb4d1314155341dfd60a3b019bfc2ac018d567ed"/>
    <w:p>
      <w:pPr>
        <w:pStyle w:val="Heading3"/>
      </w:pPr>
      <w:r>
        <w:t xml:space="preserve">Plan 2: Disciplined Dollar-Cost Averaging (DCA Over 12–18 Months)</w:t>
      </w:r>
    </w:p>
    <w:bookmarkStart w:id="60" w:name="building-the-position-1"/>
    <w:p>
      <w:pPr>
        <w:pStyle w:val="Heading4"/>
      </w:pPr>
      <w:r>
        <w:t xml:space="preserve">1. Building the Position</w:t>
      </w:r>
    </w:p>
    <w:p>
      <w:pPr>
        <w:pStyle w:val="Compact"/>
        <w:numPr>
          <w:ilvl w:val="0"/>
          <w:numId w:val="1063"/>
        </w:numPr>
      </w:pPr>
      <w:r>
        <w:rPr>
          <w:b/>
          <w:bCs/>
        </w:rPr>
        <w:t xml:space="preserve">Structure &amp; Rationale:</w:t>
      </w:r>
      <w:r>
        <w:t xml:space="preserve"> </w:t>
      </w:r>
      <w:r>
        <w:t xml:space="preserve">Divide the targeted capital into</w:t>
      </w:r>
      <w:r>
        <w:t xml:space="preserve"> </w:t>
      </w:r>
      <w:r>
        <w:rPr>
          <w:b/>
          <w:bCs/>
        </w:rPr>
        <w:t xml:space="preserve">12 to 18 equal monthly tranches</w:t>
      </w:r>
      <w:r>
        <w:t xml:space="preserve">. Given the stock’s historical volatility (52-week spread of $13.74 to $65.30) and heavy short interest (25.7%), a time-diversified build averages out market turbulence, smooths execution through the Eucalyptus integration, and avoids bad timing around litigation disclosures.</w:t>
      </w:r>
    </w:p>
    <w:p>
      <w:pPr>
        <w:pStyle w:val="Compact"/>
        <w:numPr>
          <w:ilvl w:val="0"/>
          <w:numId w:val="1063"/>
        </w:numPr>
      </w:pPr>
      <w:r>
        <w:rPr>
          <w:b/>
          <w:bCs/>
        </w:rPr>
        <w:t xml:space="preserve">Target &amp; Maximum Allocation:</w:t>
      </w:r>
      <w:r>
        <w:t xml:space="preserve"> </w:t>
      </w:r>
      <w:r>
        <w:t xml:space="preserve">Target allocation of</w:t>
      </w:r>
      <w:r>
        <w:t xml:space="preserve"> </w:t>
      </w:r>
      <w:r>
        <w:rPr>
          <w:b/>
          <w:bCs/>
        </w:rPr>
        <w:t xml:space="preserve">1.5%</w:t>
      </w:r>
      <w:r>
        <w:t xml:space="preserve">; hard allocation ceiling of</w:t>
      </w:r>
      <w:r>
        <w:t xml:space="preserve"> </w:t>
      </w:r>
      <w:r>
        <w:rPr>
          <w:b/>
          <w:bCs/>
        </w:rPr>
        <w:t xml:space="preserve">2.0%</w:t>
      </w:r>
      <w:r>
        <w:t xml:space="preserve"> </w:t>
      </w:r>
      <w:r>
        <w:t xml:space="preserve">of total portfolio assets.</w:t>
      </w:r>
    </w:p>
    <w:p>
      <w:pPr>
        <w:pStyle w:val="Compact"/>
        <w:numPr>
          <w:ilvl w:val="0"/>
          <w:numId w:val="1063"/>
        </w:numPr>
      </w:pPr>
      <w:r>
        <w:rPr>
          <w:b/>
          <w:bCs/>
        </w:rPr>
        <w:t xml:space="preserve">Limit Order Execution Schedule:</w:t>
      </w:r>
    </w:p>
    <w:p>
      <w:pPr>
        <w:pStyle w:val="Compact"/>
        <w:numPr>
          <w:ilvl w:val="1"/>
          <w:numId w:val="1064"/>
        </w:numPr>
      </w:pPr>
      <w:r>
        <w:t xml:space="preserve">Allocate</w:t>
      </w:r>
      <w:r>
        <w:t xml:space="preserve"> </w:t>
      </w:r>
      <w:r>
        <w:rPr>
          <w:b/>
          <w:bCs/>
        </w:rPr>
        <w:t xml:space="preserve">1/12th to 1/18th</w:t>
      </w:r>
      <w:r>
        <w:t xml:space="preserve"> </w:t>
      </w:r>
      <w:r>
        <w:t xml:space="preserve">of the total planned capital on a set day each month (e.g., the first business day following monthly option expiration or the first trading day of each calendar month).</w:t>
      </w:r>
    </w:p>
    <w:p>
      <w:pPr>
        <w:pStyle w:val="Compact"/>
        <w:numPr>
          <w:ilvl w:val="1"/>
          <w:numId w:val="1064"/>
        </w:numPr>
      </w:pPr>
      <w:r>
        <w:t xml:space="preserve">Rather than using market orders, check the prevailing market price and place a limit order at the</w:t>
      </w:r>
      <w:r>
        <w:t xml:space="preserve"> </w:t>
      </w:r>
      <w:r>
        <w:rPr>
          <w:b/>
          <w:bCs/>
        </w:rPr>
        <w:t xml:space="preserve">current bid or 1.0% below the last trade</w:t>
      </w:r>
      <w:r>
        <w:t xml:space="preserve"> </w:t>
      </w:r>
      <w:r>
        <w:t xml:space="preserve">to prevent execution slippage.</w:t>
      </w:r>
    </w:p>
    <w:p>
      <w:pPr>
        <w:pStyle w:val="Compact"/>
        <w:numPr>
          <w:ilvl w:val="1"/>
          <w:numId w:val="1064"/>
        </w:numPr>
      </w:pPr>
      <w:r>
        <w:rPr>
          <w:b/>
          <w:bCs/>
        </w:rPr>
        <w:t xml:space="preserve">Valuation Circuit Breaker:</w:t>
      </w:r>
      <w:r>
        <w:t xml:space="preserve"> </w:t>
      </w:r>
      <w:r>
        <w:t xml:space="preserve">If the market price exceeds a forward Price-to-Sales ratio of</w:t>
      </w:r>
      <w:r>
        <w:t xml:space="preserve"> </w:t>
      </w:r>
      <w:r>
        <w:rPr>
          <w:b/>
          <w:bCs/>
        </w:rPr>
        <w:t xml:space="preserve">2.5x</w:t>
      </w:r>
      <w:r>
        <w:t xml:space="preserve"> </w:t>
      </w:r>
      <w:r>
        <w:t xml:space="preserve">(equivalent to approximately</w:t>
      </w:r>
      <w:r>
        <w:t xml:space="preserve"> </w:t>
      </w:r>
      <w:r>
        <w:rPr>
          <w:b/>
          <w:bCs/>
        </w:rPr>
        <w:t xml:space="preserve">$34.00</w:t>
      </w:r>
      <w:r>
        <w:t xml:space="preserve"> </w:t>
      </w:r>
      <w:r>
        <w:t xml:space="preserve">per share based on guided 2026 revenue),</w:t>
      </w:r>
      <w:r>
        <w:t xml:space="preserve"> </w:t>
      </w:r>
      <w:r>
        <w:rPr>
          <w:b/>
          <w:bCs/>
        </w:rPr>
        <w:t xml:space="preserve">pause the monthly contribution</w:t>
      </w:r>
      <w:r>
        <w:t xml:space="preserve"> </w:t>
      </w:r>
      <w:r>
        <w:t xml:space="preserve">for that month and retain the cash in reserves until valuation falls back into range.</w:t>
      </w:r>
    </w:p>
    <w:bookmarkEnd w:id="60"/>
    <w:bookmarkStart w:id="61" w:name="holding-and-reviewing-1"/>
    <w:p>
      <w:pPr>
        <w:pStyle w:val="Heading4"/>
      </w:pPr>
      <w:r>
        <w:t xml:space="preserve">2. Holding and Reviewing</w:t>
      </w:r>
    </w:p>
    <w:p>
      <w:pPr>
        <w:pStyle w:val="FirstParagraph"/>
      </w:pPr>
      <w:r>
        <w:t xml:space="preserve">Review the holding on a quarterly cadence matching 10-Q/10-K filings:</w:t>
      </w:r>
      <w:r>
        <w:t xml:space="preserve"> </w:t>
      </w:r>
      <w:r>
        <w:t xml:space="preserve">*</w:t>
      </w:r>
      <w:r>
        <w:t xml:space="preserve"> </w:t>
      </w:r>
      <w:r>
        <w:rPr>
          <w:b/>
          <w:bCs/>
        </w:rPr>
        <w:t xml:space="preserve">Organic U.S. vs. International Growth:</w:t>
      </w:r>
      <w:r>
        <w:t xml:space="preserve"> </w:t>
      </w:r>
      <w:r>
        <w:t xml:space="preserve">Ensure U.S. revenue continues to grow at or above</w:t>
      </w:r>
      <w:r>
        <w:t xml:space="preserve"> </w:t>
      </w:r>
      <w:r>
        <w:rPr>
          <w:b/>
          <w:bCs/>
        </w:rPr>
        <w:t xml:space="preserve">10% YoY</w:t>
      </w:r>
      <w:r>
        <w:t xml:space="preserve"> </w:t>
      </w:r>
      <w:r>
        <w:t xml:space="preserve">while international revenue maintains a trajectory toward management’s $1.0B multi-year goal without deteriorating consolidated operating margins.</w:t>
      </w:r>
      <w:r>
        <w:t xml:space="preserve"> </w:t>
      </w:r>
      <w:r>
        <w:t xml:space="preserve">*</w:t>
      </w:r>
      <w:r>
        <w:t xml:space="preserve"> </w:t>
      </w:r>
      <w:r>
        <w:rPr>
          <w:b/>
          <w:bCs/>
        </w:rPr>
        <w:t xml:space="preserve">Customer Acquisition Cost (CAC) Efficiency:</w:t>
      </w:r>
      <w:r>
        <w:t xml:space="preserve"> </w:t>
      </w:r>
      <w:r>
        <w:t xml:space="preserve">Monitor marketing expenses relative to revenue (FY2025 marketing spend was ~$798.5M). If marketing expenses rise above</w:t>
      </w:r>
      <w:r>
        <w:t xml:space="preserve"> </w:t>
      </w:r>
      <w:r>
        <w:rPr>
          <w:b/>
          <w:bCs/>
        </w:rPr>
        <w:t xml:space="preserve">38% of total revenue</w:t>
      </w:r>
      <w:r>
        <w:t xml:space="preserve"> </w:t>
      </w:r>
      <w:r>
        <w:t xml:space="preserve">without driving double-digit subscriber additions, customer acquisition efficiency has degraded.</w:t>
      </w:r>
      <w:r>
        <w:t xml:space="preserve"> </w:t>
      </w:r>
      <w:r>
        <w:t xml:space="preserve">*</w:t>
      </w:r>
      <w:r>
        <w:t xml:space="preserve"> </w:t>
      </w:r>
      <w:r>
        <w:rPr>
          <w:b/>
          <w:bCs/>
        </w:rPr>
        <w:t xml:space="preserve">Stock-Based Compensation (SBC):</w:t>
      </w:r>
      <w:r>
        <w:t xml:space="preserve"> </w:t>
      </w:r>
      <w:r>
        <w:t xml:space="preserve">Verify that quarterly SBC remains disciplined (Q2 2026 SBC was $42.12M). Dilution must not erode long-term per-share value.</w:t>
      </w:r>
    </w:p>
    <w:bookmarkEnd w:id="61"/>
    <w:bookmarkStart w:id="62" w:name="adding-more-1"/>
    <w:p>
      <w:pPr>
        <w:pStyle w:val="Heading4"/>
      </w:pPr>
      <w:r>
        <w:t xml:space="preserve">3. Adding More</w:t>
      </w:r>
    </w:p>
    <w:p>
      <w:pPr>
        <w:pStyle w:val="Compact"/>
        <w:numPr>
          <w:ilvl w:val="0"/>
          <w:numId w:val="1065"/>
        </w:numPr>
      </w:pPr>
      <w:r>
        <w:rPr>
          <w:b/>
          <w:bCs/>
        </w:rPr>
        <w:t xml:space="preserve">Conditions to Accelerate:</w:t>
      </w:r>
      <w:r>
        <w:t xml:space="preserve"> </w:t>
      </w:r>
      <w:r>
        <w:t xml:space="preserve">If the stock experiences a sharp market-wide sell-off that compresses the valuation to a forward P/S below</w:t>
      </w:r>
      <w:r>
        <w:t xml:space="preserve"> </w:t>
      </w:r>
      <w:r>
        <w:rPr>
          <w:b/>
          <w:bCs/>
        </w:rPr>
        <w:t xml:space="preserve">1.5x</w:t>
      </w:r>
      <w:r>
        <w:t xml:space="preserve"> </w:t>
      </w:r>
      <w:r>
        <w:t xml:space="preserve">(approx.</w:t>
      </w:r>
      <w:r>
        <w:t xml:space="preserve"> </w:t>
      </w:r>
      <w:r>
        <w:rPr>
          <w:b/>
          <w:bCs/>
        </w:rPr>
        <w:t xml:space="preserve">$20.00</w:t>
      </w:r>
      <w:r>
        <w:t xml:space="preserve">), an investor may double a single monthly DCA tranche (e.g., deploying 2/12ths instead of 1/12th), provided quarterly SEC filings show gross margins remain above 62%.</w:t>
      </w:r>
    </w:p>
    <w:p>
      <w:pPr>
        <w:pStyle w:val="Compact"/>
        <w:numPr>
          <w:ilvl w:val="0"/>
          <w:numId w:val="1065"/>
        </w:numPr>
      </w:pPr>
      <w:r>
        <w:rPr>
          <w:b/>
          <w:bCs/>
        </w:rPr>
        <w:t xml:space="preserve">Absolute Portfolio Cap:</w:t>
      </w:r>
      <w:r>
        <w:t xml:space="preserve"> </w:t>
      </w:r>
      <w:r>
        <w:t xml:space="preserve">Never exceed the hard cap of</w:t>
      </w:r>
      <w:r>
        <w:t xml:space="preserve"> </w:t>
      </w:r>
      <w:r>
        <w:rPr>
          <w:b/>
          <w:bCs/>
        </w:rPr>
        <w:t xml:space="preserve">2.0%</w:t>
      </w:r>
      <w:r>
        <w:t xml:space="preserve"> </w:t>
      </w:r>
      <w:r>
        <w:t xml:space="preserve">of total portfolio assets.</w:t>
      </w:r>
    </w:p>
    <w:bookmarkEnd w:id="62"/>
    <w:bookmarkStart w:id="63" w:name="trimming-and-rebalancing-1"/>
    <w:p>
      <w:pPr>
        <w:pStyle w:val="Heading4"/>
      </w:pPr>
      <w:r>
        <w:t xml:space="preserve">4. Trimming and Rebalancing</w:t>
      </w:r>
    </w:p>
    <w:p>
      <w:pPr>
        <w:pStyle w:val="Compact"/>
        <w:numPr>
          <w:ilvl w:val="0"/>
          <w:numId w:val="1066"/>
        </w:numPr>
      </w:pPr>
      <w:r>
        <w:rPr>
          <w:b/>
          <w:bCs/>
        </w:rPr>
        <w:t xml:space="preserve">Trimming Triggers:</w:t>
      </w:r>
      <w:r>
        <w:t xml:space="preserve"> </w:t>
      </w:r>
      <w:r>
        <w:t xml:space="preserve">If price appreciation pushes the holding past</w:t>
      </w:r>
      <w:r>
        <w:t xml:space="preserve"> </w:t>
      </w:r>
      <w:r>
        <w:rPr>
          <w:b/>
          <w:bCs/>
        </w:rPr>
        <w:t xml:space="preserve">3.5%</w:t>
      </w:r>
      <w:r>
        <w:t xml:space="preserve"> </w:t>
      </w:r>
      <w:r>
        <w:t xml:space="preserve">of the total portfolio, rebalance by trimming back to</w:t>
      </w:r>
      <w:r>
        <w:t xml:space="preserve"> </w:t>
      </w:r>
      <w:r>
        <w:rPr>
          <w:b/>
          <w:bCs/>
        </w:rPr>
        <w:t xml:space="preserve">1.5%–2.0%</w:t>
      </w:r>
      <w:r>
        <w:t xml:space="preserve">.</w:t>
      </w:r>
    </w:p>
    <w:p>
      <w:pPr>
        <w:pStyle w:val="Compact"/>
        <w:numPr>
          <w:ilvl w:val="0"/>
          <w:numId w:val="1066"/>
        </w:numPr>
      </w:pPr>
      <w:r>
        <w:rPr>
          <w:b/>
          <w:bCs/>
        </w:rPr>
        <w:t xml:space="preserve">Valuation Ceiling:</w:t>
      </w:r>
      <w:r>
        <w:t xml:space="preserve"> </w:t>
      </w:r>
      <w:r>
        <w:t xml:space="preserve">If the stock reaches a trailing or forward P/S ratio above</w:t>
      </w:r>
      <w:r>
        <w:t xml:space="preserve"> </w:t>
      </w:r>
      <w:r>
        <w:rPr>
          <w:b/>
          <w:bCs/>
        </w:rPr>
        <w:t xml:space="preserve">3.8x</w:t>
      </w:r>
      <w:r>
        <w:t xml:space="preserve"> </w:t>
      </w:r>
      <w:r>
        <w:t xml:space="preserve">(approx.</w:t>
      </w:r>
      <w:r>
        <w:t xml:space="preserve"> </w:t>
      </w:r>
      <w:r>
        <w:rPr>
          <w:b/>
          <w:bCs/>
        </w:rPr>
        <w:t xml:space="preserve">$52.00</w:t>
      </w:r>
      <w:r>
        <w:t xml:space="preserve">), pause all DCA activity and place limit orders to trim 20% of the position.</w:t>
      </w:r>
    </w:p>
    <w:bookmarkEnd w:id="63"/>
    <w:bookmarkStart w:id="64" w:name="exiting-thesis-broken-signals-1"/>
    <w:p>
      <w:pPr>
        <w:pStyle w:val="Heading4"/>
      </w:pPr>
      <w:r>
        <w:t xml:space="preserve">5. Exiting (Thesis Broken Signals)</w:t>
      </w:r>
    </w:p>
    <w:p>
      <w:pPr>
        <w:pStyle w:val="FirstParagraph"/>
      </w:pPr>
      <w:r>
        <w:t xml:space="preserve">Initiate a staged or complete exit if:</w:t>
      </w:r>
      <w:r>
        <w:t xml:space="preserve"> </w:t>
      </w:r>
      <w:r>
        <w:t xml:space="preserve">1. Monthly average revenue per user (ARPU) falls below</w:t>
      </w:r>
      <w:r>
        <w:t xml:space="preserve"> </w:t>
      </w:r>
      <w:r>
        <w:rPr>
          <w:b/>
          <w:bCs/>
        </w:rPr>
        <w:t xml:space="preserve">$75</w:t>
      </w:r>
      <w:r>
        <w:t xml:space="preserve"> </w:t>
      </w:r>
      <w:r>
        <w:t xml:space="preserve">alongside decelerating subscriber numbers, signaling that the platform has lost brand appeal or is suffering churn from data privacy concerns.</w:t>
      </w:r>
      <w:r>
        <w:t xml:space="preserve"> </w:t>
      </w:r>
      <w:r>
        <w:t xml:space="preserve">2. The company records material goodwill impairments (&gt;25% of acquisition value) on its European or Australian (Eucalyptus) acquisitions within 24 months of closing.</w:t>
      </w:r>
      <w:r>
        <w:t xml:space="preserve"> </w:t>
      </w:r>
      <w:r>
        <w:t xml:space="preserve">3. Total debt-to-operating-cash-flow escalates beyond 4.0x without a clear debt paydown plan disclosed in Form 10-Q filings.</w:t>
      </w:r>
    </w:p>
    <w:p>
      <w:r>
        <w:pict>
          <v:rect style="width:0;height:1.5pt" o:hralign="center" o:hrstd="t" o:hr="t"/>
        </w:pict>
      </w:r>
    </w:p>
    <w:bookmarkEnd w:id="64"/>
    <w:bookmarkEnd w:id="65"/>
    <w:bookmarkStart w:id="71" w:name="Xf12e567a11fae3dbcae1169a87570c7c9c2cb3d"/>
    <w:p>
      <w:pPr>
        <w:pStyle w:val="Heading3"/>
      </w:pPr>
      <w:r>
        <w:t xml:space="preserve">Plan 3: Valuation-Gated Watchlist (</w:t>
      </w:r>
      <w:r>
        <w:t xml:space="preserve">“Show-Me”</w:t>
      </w:r>
      <w:r>
        <w:t xml:space="preserve"> </w:t>
      </w:r>
      <w:r>
        <w:t xml:space="preserve">Entry)</w:t>
      </w:r>
    </w:p>
    <w:bookmarkStart w:id="66" w:name="building-the-position-2"/>
    <w:p>
      <w:pPr>
        <w:pStyle w:val="Heading4"/>
      </w:pPr>
      <w:r>
        <w:t xml:space="preserve">1. Building the Position</w:t>
      </w:r>
    </w:p>
    <w:p>
      <w:pPr>
        <w:pStyle w:val="Compact"/>
        <w:numPr>
          <w:ilvl w:val="0"/>
          <w:numId w:val="1067"/>
        </w:numPr>
      </w:pPr>
      <w:r>
        <w:rPr>
          <w:b/>
          <w:bCs/>
        </w:rPr>
        <w:t xml:space="preserve">Structure &amp; Rationale:</w:t>
      </w:r>
      <w:r>
        <w:t xml:space="preserve"> </w:t>
      </w:r>
      <w:r>
        <w:t xml:space="preserve">Zero capital deployed today. HIMS currently operates at a GAAP net loss (-$86.29M in Q2 2026), holds $710M in deferred acquisition commitments, faces active FTC data privacy litigation, and has a DOJ referral outstanding. For a moderate investor prioritizing capital preservation, waiting for either a deep valuation discount or unambiguous GAAP profitability is a prudent posture.</w:t>
      </w:r>
    </w:p>
    <w:p>
      <w:pPr>
        <w:pStyle w:val="Compact"/>
        <w:numPr>
          <w:ilvl w:val="0"/>
          <w:numId w:val="1067"/>
        </w:numPr>
      </w:pPr>
      <w:r>
        <w:rPr>
          <w:b/>
          <w:bCs/>
        </w:rPr>
        <w:t xml:space="preserve">Target &amp; Maximum Allocation:</w:t>
      </w:r>
      <w:r>
        <w:t xml:space="preserve"> </w:t>
      </w:r>
      <w:r>
        <w:t xml:space="preserve">Current allocation:</w:t>
      </w:r>
      <w:r>
        <w:t xml:space="preserve"> </w:t>
      </w:r>
      <w:r>
        <w:rPr>
          <w:b/>
          <w:bCs/>
        </w:rPr>
        <w:t xml:space="preserve">0.0%</w:t>
      </w:r>
      <w:r>
        <w:t xml:space="preserve">. Target allocation upon gating clearance:</w:t>
      </w:r>
      <w:r>
        <w:t xml:space="preserve"> </w:t>
      </w:r>
      <w:r>
        <w:rPr>
          <w:b/>
          <w:bCs/>
        </w:rPr>
        <w:t xml:space="preserve">1.5%</w:t>
      </w:r>
      <w:r>
        <w:t xml:space="preserve">; hard ceiling cap of</w:t>
      </w:r>
      <w:r>
        <w:t xml:space="preserve"> </w:t>
      </w:r>
      <w:r>
        <w:rPr>
          <w:b/>
          <w:bCs/>
        </w:rPr>
        <w:t xml:space="preserve">2.0%</w:t>
      </w:r>
      <w:r>
        <w:t xml:space="preserve">.</w:t>
      </w:r>
    </w:p>
    <w:p>
      <w:pPr>
        <w:pStyle w:val="Compact"/>
        <w:numPr>
          <w:ilvl w:val="0"/>
          <w:numId w:val="1067"/>
        </w:numPr>
      </w:pPr>
      <w:r>
        <w:rPr>
          <w:b/>
          <w:bCs/>
        </w:rPr>
        <w:t xml:space="preserve">Limit Order Execution Conditions:</w:t>
      </w:r>
      <w:r>
        <w:t xml:space="preserve"> </w:t>
      </w:r>
      <w:r>
        <w:t xml:space="preserve">Do not enter until</w:t>
      </w:r>
      <w:r>
        <w:t xml:space="preserve"> </w:t>
      </w:r>
      <w:r>
        <w:rPr>
          <w:b/>
          <w:bCs/>
        </w:rPr>
        <w:t xml:space="preserve">ONE</w:t>
      </w:r>
      <w:r>
        <w:t xml:space="preserve"> </w:t>
      </w:r>
      <w:r>
        <w:t xml:space="preserve">of the following two clear criteria is satisfied in official filings:</w:t>
      </w:r>
    </w:p>
    <w:p>
      <w:pPr>
        <w:pStyle w:val="Compact"/>
        <w:numPr>
          <w:ilvl w:val="1"/>
          <w:numId w:val="1068"/>
        </w:numPr>
      </w:pPr>
      <w:r>
        <w:rPr>
          <w:b/>
          <w:bCs/>
        </w:rPr>
        <w:t xml:space="preserve">Option A (Deep Value Gating):</w:t>
      </w:r>
      <w:r>
        <w:t xml:space="preserve"> </w:t>
      </w:r>
      <w:r>
        <w:t xml:space="preserve">The market de-rates the stock to a forward Price-to-Sales multiple between</w:t>
      </w:r>
      <w:r>
        <w:t xml:space="preserve"> </w:t>
      </w:r>
      <w:r>
        <w:rPr>
          <w:b/>
          <w:bCs/>
        </w:rPr>
        <w:t xml:space="preserve">1.4x and 1.6x</w:t>
      </w:r>
      <w:r>
        <w:t xml:space="preserve"> </w:t>
      </w:r>
      <w:r>
        <w:t xml:space="preserve">(equivalent to a share price of</w:t>
      </w:r>
      <w:r>
        <w:t xml:space="preserve"> </w:t>
      </w:r>
      <w:r>
        <w:rPr>
          <w:b/>
          <w:bCs/>
        </w:rPr>
        <w:t xml:space="preserve">$19.00 – $22.00</w:t>
      </w:r>
      <w:r>
        <w:t xml:space="preserve">). Place a 60-day GTC limit order at</w:t>
      </w:r>
      <w:r>
        <w:t xml:space="preserve"> </w:t>
      </w:r>
      <w:r>
        <w:rPr>
          <w:b/>
          <w:bCs/>
        </w:rPr>
        <w:t xml:space="preserve">$21.50</w:t>
      </w:r>
      <w:r>
        <w:t xml:space="preserve"> </w:t>
      </w:r>
      <w:r>
        <w:t xml:space="preserve">to capture an entry with an elevated margin of safety.</w:t>
      </w:r>
    </w:p>
    <w:p>
      <w:pPr>
        <w:pStyle w:val="Compact"/>
        <w:numPr>
          <w:ilvl w:val="1"/>
          <w:numId w:val="1068"/>
        </w:numPr>
      </w:pPr>
      <w:r>
        <w:rPr>
          <w:b/>
          <w:bCs/>
        </w:rPr>
        <w:t xml:space="preserve">Option B (Fundamental Clearance Gating):</w:t>
      </w:r>
      <w:r>
        <w:t xml:space="preserve"> </w:t>
      </w:r>
      <w:r>
        <w:t xml:space="preserve">The company files an annual Form 10-K demonstrating full-year GAAP positive net income, positive annual Free Cash Flow exceeding</w:t>
      </w:r>
      <w:r>
        <w:t xml:space="preserve"> </w:t>
      </w:r>
      <w:r>
        <w:rPr>
          <w:b/>
          <w:bCs/>
        </w:rPr>
        <w:t xml:space="preserve">$75M</w:t>
      </w:r>
      <w:r>
        <w:t xml:space="preserve">, and discloses a formal settlement of the FTC complaint. Once these conditions appear in the SEC filing, deploy via two equal tranches (0.75% each) using limit orders placed at or below</w:t>
      </w:r>
      <w:r>
        <w:t xml:space="preserve"> </w:t>
      </w:r>
      <w:r>
        <w:rPr>
          <w:b/>
          <w:bCs/>
        </w:rPr>
        <w:t xml:space="preserve">$30.00</w:t>
      </w:r>
      <w:r>
        <w:t xml:space="preserve">.</w:t>
      </w:r>
    </w:p>
    <w:bookmarkEnd w:id="66"/>
    <w:bookmarkStart w:id="67" w:name="holding-and-reviewing-2"/>
    <w:p>
      <w:pPr>
        <w:pStyle w:val="Heading4"/>
      </w:pPr>
      <w:r>
        <w:t xml:space="preserve">2. Holding and Reviewing</w:t>
      </w:r>
    </w:p>
    <w:p>
      <w:pPr>
        <w:pStyle w:val="FirstParagraph"/>
      </w:pPr>
      <w:r>
        <w:t xml:space="preserve">While on the watchlist, monitor each earnings release and Form 10-Q/10-K for:</w:t>
      </w:r>
      <w:r>
        <w:t xml:space="preserve"> </w:t>
      </w:r>
      <w:r>
        <w:t xml:space="preserve">*</w:t>
      </w:r>
      <w:r>
        <w:t xml:space="preserve"> </w:t>
      </w:r>
      <w:r>
        <w:rPr>
          <w:b/>
          <w:bCs/>
        </w:rPr>
        <w:t xml:space="preserve">Legal Footnotes (Commitments and Contingencies):</w:t>
      </w:r>
      <w:r>
        <w:t xml:space="preserve"> </w:t>
      </w:r>
      <w:r>
        <w:t xml:space="preserve">Track updates on the DOJ referral under FDCA/Title 18 and the FTC consumer privacy litigation in Note 8/12 of the quarterly filings. Look for reserve estimates or settlement disclosures.</w:t>
      </w:r>
      <w:r>
        <w:t xml:space="preserve"> </w:t>
      </w:r>
      <w:r>
        <w:t xml:space="preserve">*</w:t>
      </w:r>
      <w:r>
        <w:t xml:space="preserve"> </w:t>
      </w:r>
      <w:r>
        <w:rPr>
          <w:b/>
          <w:bCs/>
        </w:rPr>
        <w:t xml:space="preserve">Working Capital &amp; Debt Levels:</w:t>
      </w:r>
      <w:r>
        <w:t xml:space="preserve"> </w:t>
      </w:r>
      <w:r>
        <w:t xml:space="preserve">Review the consolidated balance sheet to ensure cash and revolving credit lines comfortably cover the quarterly obligations of the $710M Eucalyptus deferred purchase price.</w:t>
      </w:r>
      <w:r>
        <w:t xml:space="preserve"> </w:t>
      </w:r>
      <w:r>
        <w:t xml:space="preserve">*</w:t>
      </w:r>
      <w:r>
        <w:t xml:space="preserve"> </w:t>
      </w:r>
      <w:r>
        <w:rPr>
          <w:b/>
          <w:bCs/>
        </w:rPr>
        <w:t xml:space="preserve">Form 4 Insider Transactions:</w:t>
      </w:r>
      <w:r>
        <w:t xml:space="preserve"> </w:t>
      </w:r>
      <w:r>
        <w:t xml:space="preserve">Look for a cessation of executive selling or open-market insider purchases (Code P) from senior leadership, signaling insider confidence.</w:t>
      </w:r>
    </w:p>
    <w:bookmarkEnd w:id="67"/>
    <w:bookmarkStart w:id="68" w:name="adding-more-2"/>
    <w:p>
      <w:pPr>
        <w:pStyle w:val="Heading4"/>
      </w:pPr>
      <w:r>
        <w:t xml:space="preserve">3. Adding More</w:t>
      </w:r>
    </w:p>
    <w:p>
      <w:pPr>
        <w:pStyle w:val="Compact"/>
        <w:numPr>
          <w:ilvl w:val="0"/>
          <w:numId w:val="1069"/>
        </w:numPr>
      </w:pPr>
      <w:r>
        <w:t xml:space="preserve">If an initial entry is triggered via Option A or B, subsequent additions are permitted only if gross margins expand sequentially toward</w:t>
      </w:r>
      <w:r>
        <w:t xml:space="preserve"> </w:t>
      </w:r>
      <w:r>
        <w:rPr>
          <w:b/>
          <w:bCs/>
        </w:rPr>
        <w:t xml:space="preserve">68%</w:t>
      </w:r>
      <w:r>
        <w:t xml:space="preserve"> </w:t>
      </w:r>
      <w:r>
        <w:t xml:space="preserve">and trailing 12-month FCF conversion tops 8% of revenue.</w:t>
      </w:r>
    </w:p>
    <w:p>
      <w:pPr>
        <w:pStyle w:val="Compact"/>
        <w:numPr>
          <w:ilvl w:val="0"/>
          <w:numId w:val="1069"/>
        </w:numPr>
      </w:pPr>
      <w:r>
        <w:rPr>
          <w:b/>
          <w:bCs/>
        </w:rPr>
        <w:t xml:space="preserve">Absolute Portfolio Cap:</w:t>
      </w:r>
      <w:r>
        <w:t xml:space="preserve"> </w:t>
      </w:r>
      <w:r>
        <w:t xml:space="preserve">Strictly capped at</w:t>
      </w:r>
      <w:r>
        <w:t xml:space="preserve"> </w:t>
      </w:r>
      <w:r>
        <w:rPr>
          <w:b/>
          <w:bCs/>
        </w:rPr>
        <w:t xml:space="preserve">2.0%</w:t>
      </w:r>
      <w:r>
        <w:t xml:space="preserve"> </w:t>
      </w:r>
      <w:r>
        <w:t xml:space="preserve">of total portfolio assets.</w:t>
      </w:r>
    </w:p>
    <w:bookmarkEnd w:id="68"/>
    <w:bookmarkStart w:id="69" w:name="trimming-and-rebalancing-2"/>
    <w:p>
      <w:pPr>
        <w:pStyle w:val="Heading4"/>
      </w:pPr>
      <w:r>
        <w:t xml:space="preserve">4. Trimming and Rebalancing</w:t>
      </w:r>
    </w:p>
    <w:p>
      <w:pPr>
        <w:pStyle w:val="Compact"/>
        <w:numPr>
          <w:ilvl w:val="0"/>
          <w:numId w:val="1070"/>
        </w:numPr>
      </w:pPr>
      <w:r>
        <w:t xml:space="preserve">If purchased at deep value ($19.00–$22.00) and the position doubles, rebalance by trimming 30% of the holding via limit orders when the position exceeds</w:t>
      </w:r>
      <w:r>
        <w:t xml:space="preserve"> </w:t>
      </w:r>
      <w:r>
        <w:rPr>
          <w:b/>
          <w:bCs/>
        </w:rPr>
        <w:t xml:space="preserve">3.0%</w:t>
      </w:r>
      <w:r>
        <w:t xml:space="preserve"> </w:t>
      </w:r>
      <w:r>
        <w:t xml:space="preserve">of portfolio assets.</w:t>
      </w:r>
    </w:p>
    <w:p>
      <w:pPr>
        <w:pStyle w:val="Compact"/>
        <w:numPr>
          <w:ilvl w:val="0"/>
          <w:numId w:val="1070"/>
        </w:numPr>
      </w:pPr>
      <w:r>
        <w:t xml:space="preserve">Re-deploy the trimmed proceeds into broader diversified core holdings (e.g., broad-market index funds).</w:t>
      </w:r>
    </w:p>
    <w:bookmarkEnd w:id="69"/>
    <w:bookmarkStart w:id="70" w:name="exiting-invalidation-of-watchlist"/>
    <w:p>
      <w:pPr>
        <w:pStyle w:val="Heading4"/>
      </w:pPr>
      <w:r>
        <w:t xml:space="preserve">5. Exiting / Invalidation of Watchlist</w:t>
      </w:r>
    </w:p>
    <w:p>
      <w:pPr>
        <w:pStyle w:val="FirstParagraph"/>
      </w:pPr>
      <w:r>
        <w:t xml:space="preserve">Remove HIMS from the watchlist entirely (abandoning interest) if:</w:t>
      </w:r>
      <w:r>
        <w:t xml:space="preserve"> </w:t>
      </w:r>
      <w:r>
        <w:t xml:space="preserve">1. The company is indicted or enters into a non-prosecution agreement that imposes criminal penalties or bans key executives from federal healthcare programs.</w:t>
      </w:r>
      <w:r>
        <w:t xml:space="preserve"> </w:t>
      </w:r>
      <w:r>
        <w:t xml:space="preserve">2. The core business burns through liquidity, forcing a dilutive restructuring or debt covenant breach.</w:t>
      </w:r>
    </w:p>
    <w:p>
      <w:r>
        <w:pict>
          <v:rect style="width:0;height:1.5pt" o:hralign="center" o:hrstd="t" o:hr="t"/>
        </w:pict>
      </w:r>
    </w:p>
    <w:bookmarkEnd w:id="70"/>
    <w:bookmarkEnd w:id="71"/>
    <w:bookmarkStart w:id="72" w:name="X3aa6601b106a3a6b5bd453798b572a646fa366e"/>
    <w:p>
      <w:pPr>
        <w:pStyle w:val="Heading3"/>
      </w:pPr>
      <w:r>
        <w:t xml:space="preserve">Tax-Aware Implementation Guidelines (General Education)</w:t>
      </w:r>
    </w:p>
    <w:p>
      <w:pPr>
        <w:pStyle w:val="Compact"/>
        <w:numPr>
          <w:ilvl w:val="0"/>
          <w:numId w:val="1071"/>
        </w:numPr>
      </w:pPr>
      <w:r>
        <w:rPr>
          <w:b/>
          <w:bCs/>
        </w:rPr>
        <w:t xml:space="preserve">Account Placement:</w:t>
      </w:r>
    </w:p>
    <w:p>
      <w:pPr>
        <w:pStyle w:val="Compact"/>
        <w:numPr>
          <w:ilvl w:val="1"/>
          <w:numId w:val="1072"/>
        </w:numPr>
      </w:pPr>
      <w:r>
        <w:rPr>
          <w:b/>
          <w:bCs/>
        </w:rPr>
        <w:t xml:space="preserve">Tax-Advantaged Accounts (IRA, Roth IRA, 401(k)):</w:t>
      </w:r>
      <w:r>
        <w:t xml:space="preserve"> </w:t>
      </w:r>
      <w:r>
        <w:t xml:space="preserve">Ideal for growth-oriented, high-volatility holdings like HIMS. Because HIMS pays no dividend ($0.00 yield) and trades with high beta, frequent rebalancing, milestone tranches, and trimming of outsized gains can occur inside an IRA without triggering immediate capital gains taxes.</w:t>
      </w:r>
    </w:p>
    <w:p>
      <w:pPr>
        <w:pStyle w:val="Compact"/>
        <w:numPr>
          <w:ilvl w:val="1"/>
          <w:numId w:val="1072"/>
        </w:numPr>
      </w:pPr>
      <w:r>
        <w:rPr>
          <w:b/>
          <w:bCs/>
        </w:rPr>
        <w:t xml:space="preserve">Taxable Brokerage Accounts:</w:t>
      </w:r>
      <w:r>
        <w:t xml:space="preserve"> </w:t>
      </w:r>
      <w:r>
        <w:t xml:space="preserve">If held in a taxable account, prioritize long-term holding periods. To qualify for long-term capital gains tax rates (preferential 0%, 15%, or 20% federal brackets plus the 3.8% Net Investment Income Tax where applicable), shares must be held for</w:t>
      </w:r>
      <w:r>
        <w:t xml:space="preserve"> </w:t>
      </w:r>
      <w:r>
        <w:rPr>
          <w:b/>
          <w:bCs/>
        </w:rPr>
        <w:t xml:space="preserve">more than one full year (366+ days)</w:t>
      </w:r>
      <w:r>
        <w:t xml:space="preserve"> </w:t>
      </w:r>
      <w:r>
        <w:t xml:space="preserve">before selling.</w:t>
      </w:r>
    </w:p>
    <w:p>
      <w:pPr>
        <w:pStyle w:val="Compact"/>
        <w:numPr>
          <w:ilvl w:val="0"/>
          <w:numId w:val="1071"/>
        </w:numPr>
      </w:pPr>
      <w:r>
        <w:rPr>
          <w:b/>
          <w:bCs/>
        </w:rPr>
        <w:t xml:space="preserve">Lot Selection Methods (Taxable Accounts):</w:t>
      </w:r>
    </w:p>
    <w:p>
      <w:pPr>
        <w:pStyle w:val="Compact"/>
        <w:numPr>
          <w:ilvl w:val="1"/>
          <w:numId w:val="1073"/>
        </w:numPr>
      </w:pPr>
      <w:r>
        <w:t xml:space="preserve">Avoid the default</w:t>
      </w:r>
      <w:r>
        <w:t xml:space="preserve"> </w:t>
      </w:r>
      <w:r>
        <w:t xml:space="preserve">“FIFO”</w:t>
      </w:r>
      <w:r>
        <w:t xml:space="preserve"> </w:t>
      </w:r>
      <w:r>
        <w:t xml:space="preserve">(First-In, First-Out) method when trimming or rebalancing.</w:t>
      </w:r>
    </w:p>
    <w:p>
      <w:pPr>
        <w:pStyle w:val="Compact"/>
        <w:numPr>
          <w:ilvl w:val="1"/>
          <w:numId w:val="1073"/>
        </w:numPr>
      </w:pPr>
      <w:r>
        <w:t xml:space="preserve">Use</w:t>
      </w:r>
      <w:r>
        <w:t xml:space="preserve"> </w:t>
      </w:r>
      <w:r>
        <w:rPr>
          <w:b/>
          <w:bCs/>
        </w:rPr>
        <w:t xml:space="preserve">Specific Lot Identification</w:t>
      </w:r>
      <w:r>
        <w:t xml:space="preserve"> </w:t>
      </w:r>
      <w:r>
        <w:t xml:space="preserve">with your broker. When trimming after price appreciation, selecting highest-cost lots (</w:t>
      </w:r>
      <w:r>
        <w:t xml:space="preserve">“HIFO”</w:t>
      </w:r>
      <w:r>
        <w:t xml:space="preserve"> </w:t>
      </w:r>
      <w:r>
        <w:t xml:space="preserve">- Highest-In, First-Out) minimizes the taxable realized gain. When rebalancing after long holding periods, designate specific lots that have surpassed the one-year threshold.</w:t>
      </w:r>
    </w:p>
    <w:p>
      <w:pPr>
        <w:pStyle w:val="Compact"/>
        <w:numPr>
          <w:ilvl w:val="0"/>
          <w:numId w:val="1071"/>
        </w:numPr>
      </w:pPr>
      <w:r>
        <w:rPr>
          <w:b/>
          <w:bCs/>
        </w:rPr>
        <w:t xml:space="preserve">Tax-Loss Harvesting &amp; IRS Wash-Sale Rules:</w:t>
      </w:r>
    </w:p>
    <w:p>
      <w:pPr>
        <w:pStyle w:val="Compact"/>
        <w:numPr>
          <w:ilvl w:val="1"/>
          <w:numId w:val="1074"/>
        </w:numPr>
      </w:pPr>
      <w:r>
        <w:t xml:space="preserve">If HIMS experiences further price declines and you choose to harvest capital losses in a taxable account to offset taxable capital gains elsewhere, you must strictly observe the</w:t>
      </w:r>
      <w:r>
        <w:t xml:space="preserve"> </w:t>
      </w:r>
      <w:r>
        <w:rPr>
          <w:b/>
          <w:bCs/>
        </w:rPr>
        <w:t xml:space="preserve">IRS 30-Day Wash-Sale Rule</w:t>
      </w:r>
      <w:r>
        <w:t xml:space="preserve">.</w:t>
      </w:r>
    </w:p>
    <w:p>
      <w:pPr>
        <w:pStyle w:val="Compact"/>
        <w:numPr>
          <w:ilvl w:val="1"/>
          <w:numId w:val="1074"/>
        </w:numPr>
      </w:pPr>
      <w:r>
        <w:t xml:space="preserve">The wash-sale rule states that a tax loss is disallowed if you purchase</w:t>
      </w:r>
      <w:r>
        <w:t xml:space="preserve"> </w:t>
      </w:r>
      <w:r>
        <w:t xml:space="preserve">“substantially identical”</w:t>
      </w:r>
      <w:r>
        <w:t xml:space="preserve"> </w:t>
      </w:r>
      <w:r>
        <w:t xml:space="preserve">stock within a</w:t>
      </w:r>
      <w:r>
        <w:t xml:space="preserve"> </w:t>
      </w:r>
      <w:r>
        <w:rPr>
          <w:b/>
          <w:bCs/>
        </w:rPr>
        <w:t xml:space="preserve">61-day window</w:t>
      </w:r>
      <w:r>
        <w:t xml:space="preserve"> </w:t>
      </w:r>
      <w:r>
        <w:t xml:space="preserve">(30 days before the sale, the day of the sale, and 30 days after the sale).</w:t>
      </w:r>
    </w:p>
    <w:p>
      <w:pPr>
        <w:pStyle w:val="Compact"/>
        <w:numPr>
          <w:ilvl w:val="1"/>
          <w:numId w:val="1074"/>
        </w:numPr>
      </w:pPr>
      <w:r>
        <w:rPr>
          <w:b/>
          <w:bCs/>
        </w:rPr>
        <w:t xml:space="preserve">Crucial Rule Across Accounts:</w:t>
      </w:r>
      <w:r>
        <w:t xml:space="preserve"> </w:t>
      </w:r>
      <w:r>
        <w:t xml:space="preserve">The wash-sale restriction applies across</w:t>
      </w:r>
      <w:r>
        <w:t xml:space="preserve"> </w:t>
      </w:r>
      <w:r>
        <w:rPr>
          <w:b/>
          <w:bCs/>
        </w:rPr>
        <w:t xml:space="preserve">ALL</w:t>
      </w:r>
      <w:r>
        <w:t xml:space="preserve"> </w:t>
      </w:r>
      <w:r>
        <w:t xml:space="preserve">accounts controlled by the taxpayer, including taxable brokerage accounts, traditional IRAs, Roth IRAs, and spousal accounts.</w:t>
      </w:r>
    </w:p>
    <w:p>
      <w:pPr>
        <w:pStyle w:val="Compact"/>
        <w:numPr>
          <w:ilvl w:val="1"/>
          <w:numId w:val="1074"/>
        </w:numPr>
      </w:pPr>
      <w:r>
        <w:rPr>
          <w:b/>
          <w:bCs/>
        </w:rPr>
        <w:t xml:space="preserve">The IRA Trap (IRS Revenue Ruling 2008-5):</w:t>
      </w:r>
      <w:r>
        <w:t xml:space="preserve"> </w:t>
      </w:r>
      <w:r>
        <w:t xml:space="preserve">If you sell HIMS shares at a loss in a taxable account and repurchase HIMS shares within 30 days inside an IRA or Roth IRA, the loss is</w:t>
      </w:r>
      <w:r>
        <w:t xml:space="preserve"> </w:t>
      </w:r>
      <w:r>
        <w:rPr>
          <w:b/>
          <w:bCs/>
        </w:rPr>
        <w:t xml:space="preserve">permanently disallowed</w:t>
      </w:r>
      <w:r>
        <w:t xml:space="preserve">. Unlike in a taxable account (where the disallowed loss is added to the cost basis of the new shares), an IRA repurchase completely destroys the tax deduction forever.</w:t>
      </w:r>
    </w:p>
    <w:p>
      <w:pPr>
        <w:pStyle w:val="Compact"/>
        <w:numPr>
          <w:ilvl w:val="1"/>
          <w:numId w:val="1074"/>
        </w:numPr>
      </w:pPr>
      <w:r>
        <w:rPr>
          <w:b/>
          <w:bCs/>
        </w:rPr>
        <w:t xml:space="preserve">Proper Remedy:</w:t>
      </w:r>
      <w:r>
        <w:t xml:space="preserve"> </w:t>
      </w:r>
      <w:r>
        <w:t xml:space="preserve">The only compliant way to harvest a tax loss and re-enter is</w:t>
      </w:r>
      <w:r>
        <w:t xml:space="preserve"> </w:t>
      </w:r>
      <w:r>
        <w:rPr>
          <w:b/>
          <w:bCs/>
        </w:rPr>
        <w:t xml:space="preserve">timing</w:t>
      </w:r>
      <w:r>
        <w:t xml:space="preserve">: wait at least</w:t>
      </w:r>
      <w:r>
        <w:t xml:space="preserve"> </w:t>
      </w:r>
      <w:r>
        <w:rPr>
          <w:b/>
          <w:bCs/>
        </w:rPr>
        <w:t xml:space="preserve">31 full calendar days</w:t>
      </w:r>
      <w:r>
        <w:t xml:space="preserve"> </w:t>
      </w:r>
      <w:r>
        <w:t xml:space="preserve">following the loss sale before repurchasing HIMS shares in any account.</w:t>
      </w:r>
    </w:p>
    <w:p>
      <w:r>
        <w:pict>
          <v:rect style="width:0;height:1.5pt" o:hralign="center" o:hrstd="t" o:hr="t"/>
        </w:pict>
      </w:r>
    </w:p>
    <w:bookmarkEnd w:id="72"/>
    <w:bookmarkStart w:id="73" w:name="strategy-comparison-position-summary"/>
    <w:p>
      <w:pPr>
        <w:pStyle w:val="Heading3"/>
      </w:pPr>
      <w:r>
        <w:t xml:space="preserve">Strategy Comparison &amp; Position Summary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Dimension</w:t>
            </w:r>
          </w:p>
        </w:tc>
        <w:tc>
          <w:tcPr/>
          <w:p>
            <w:pPr>
              <w:pStyle w:val="Compact"/>
              <w:jc w:val="left"/>
            </w:pPr>
            <w:r>
              <w:t xml:space="preserve">Plan 1: Staged Milestones Entry</w:t>
            </w:r>
          </w:p>
        </w:tc>
        <w:tc>
          <w:tcPr/>
          <w:p>
            <w:pPr>
              <w:pStyle w:val="Compact"/>
              <w:jc w:val="left"/>
            </w:pPr>
            <w:r>
              <w:t xml:space="preserve">Plan 2: Disciplined DCA (12–18 Mos)</w:t>
            </w:r>
          </w:p>
        </w:tc>
        <w:tc>
          <w:tcPr/>
          <w:p>
            <w:pPr>
              <w:pStyle w:val="Compact"/>
              <w:jc w:val="left"/>
            </w:pPr>
            <w:r>
              <w:t xml:space="preserve">Plan 3: Valuation-Gated Watchlist</w:t>
            </w:r>
          </w:p>
        </w:tc>
      </w:tr>
      <w:tr>
        <w:tc>
          <w:tcPr/>
          <w:p>
            <w:pPr>
              <w:pStyle w:val="Compact"/>
              <w:jc w:val="left"/>
            </w:pPr>
            <w:r>
              <w:rPr>
                <w:b/>
                <w:bCs/>
              </w:rPr>
              <w:t xml:space="preserve">Execution Mechanics</w:t>
            </w:r>
          </w:p>
        </w:tc>
        <w:tc>
          <w:tcPr/>
          <w:p>
            <w:pPr>
              <w:pStyle w:val="Compact"/>
              <w:jc w:val="left"/>
            </w:pPr>
            <w:r>
              <w:t xml:space="preserve">3 conditional tranches via limit orders</w:t>
            </w:r>
          </w:p>
        </w:tc>
        <w:tc>
          <w:tcPr/>
          <w:p>
            <w:pPr>
              <w:pStyle w:val="Compact"/>
              <w:jc w:val="left"/>
            </w:pPr>
            <w:r>
              <w:t xml:space="preserve">1/12th–1/18th monthly limit orders</w:t>
            </w:r>
          </w:p>
        </w:tc>
        <w:tc>
          <w:tcPr/>
          <w:p>
            <w:pPr>
              <w:pStyle w:val="Compact"/>
              <w:jc w:val="left"/>
            </w:pPr>
            <w:r>
              <w:t xml:space="preserve">No buy today; limit orders set at deep value</w:t>
            </w:r>
          </w:p>
        </w:tc>
      </w:tr>
      <w:tr>
        <w:tc>
          <w:tcPr/>
          <w:p>
            <w:pPr>
              <w:pStyle w:val="Compact"/>
              <w:jc w:val="left"/>
            </w:pPr>
            <w:r>
              <w:rPr>
                <w:b/>
                <w:bCs/>
              </w:rPr>
              <w:t xml:space="preserve">Initial Purchase Price / Limit</w:t>
            </w:r>
          </w:p>
        </w:tc>
        <w:tc>
          <w:tcPr/>
          <w:p>
            <w:pPr>
              <w:pStyle w:val="Compact"/>
              <w:jc w:val="left"/>
            </w:pPr>
            <w:r>
              <w:t xml:space="preserve">$24.00 – $28.50 (Forward P/S 1.8x–2.1x)</w:t>
            </w:r>
          </w:p>
        </w:tc>
        <w:tc>
          <w:tcPr/>
          <w:p>
            <w:pPr>
              <w:pStyle w:val="Compact"/>
              <w:jc w:val="left"/>
            </w:pPr>
            <w:r>
              <w:t xml:space="preserve">Current bid with limit order; pause &gt;$34.00</w:t>
            </w:r>
          </w:p>
        </w:tc>
        <w:tc>
          <w:tcPr/>
          <w:p>
            <w:pPr>
              <w:pStyle w:val="Compact"/>
              <w:jc w:val="left"/>
            </w:pPr>
            <w:r>
              <w:t xml:space="preserve">$19.00 – $22.00 limit order OR post-10-K</w:t>
            </w:r>
          </w:p>
        </w:tc>
      </w:tr>
      <w:tr>
        <w:tc>
          <w:tcPr/>
          <w:p>
            <w:pPr>
              <w:pStyle w:val="Compact"/>
              <w:jc w:val="left"/>
            </w:pPr>
            <w:r>
              <w:rPr>
                <w:b/>
                <w:bCs/>
              </w:rPr>
              <w:t xml:space="preserve">Target Allocation (Max Cap)</w:t>
            </w:r>
          </w:p>
        </w:tc>
        <w:tc>
          <w:tcPr/>
          <w:p>
            <w:pPr>
              <w:pStyle w:val="Compact"/>
              <w:jc w:val="left"/>
            </w:pPr>
            <w:r>
              <w:t xml:space="preserve">1.5% target (</w:t>
            </w:r>
            <w:r>
              <w:rPr>
                <w:b/>
                <w:bCs/>
              </w:rPr>
              <w:t xml:space="preserve">2.5% max cap</w:t>
            </w:r>
            <w:r>
              <w:t xml:space="preserve">)</w:t>
            </w:r>
          </w:p>
        </w:tc>
        <w:tc>
          <w:tcPr/>
          <w:p>
            <w:pPr>
              <w:pStyle w:val="Compact"/>
              <w:jc w:val="left"/>
            </w:pPr>
            <w:r>
              <w:t xml:space="preserve">1.5% target (</w:t>
            </w:r>
            <w:r>
              <w:rPr>
                <w:b/>
                <w:bCs/>
              </w:rPr>
              <w:t xml:space="preserve">2.0% max cap</w:t>
            </w:r>
            <w:r>
              <w:t xml:space="preserve">)</w:t>
            </w:r>
          </w:p>
        </w:tc>
        <w:tc>
          <w:tcPr/>
          <w:p>
            <w:pPr>
              <w:pStyle w:val="Compact"/>
              <w:jc w:val="left"/>
            </w:pPr>
            <w:r>
              <w:t xml:space="preserve">0.0% current; 1.5% target (</w:t>
            </w:r>
            <w:r>
              <w:rPr>
                <w:b/>
                <w:bCs/>
              </w:rPr>
              <w:t xml:space="preserve">2.0% max cap</w:t>
            </w:r>
            <w:r>
              <w:t xml:space="preserve">)</w:t>
            </w:r>
          </w:p>
        </w:tc>
      </w:tr>
      <w:tr>
        <w:tc>
          <w:tcPr/>
          <w:p>
            <w:pPr>
              <w:pStyle w:val="Compact"/>
              <w:jc w:val="left"/>
            </w:pPr>
            <w:r>
              <w:rPr>
                <w:b/>
                <w:bCs/>
              </w:rPr>
              <w:t xml:space="preserve">Review Schedule &amp; Metrics</w:t>
            </w:r>
          </w:p>
        </w:tc>
        <w:tc>
          <w:tcPr/>
          <w:p>
            <w:pPr>
              <w:pStyle w:val="Compact"/>
              <w:jc w:val="left"/>
            </w:pPr>
            <w:r>
              <w:t xml:space="preserve">Quarterly 10-Q: Gross margin &gt;66%, FCF inflection</w:t>
            </w:r>
          </w:p>
        </w:tc>
        <w:tc>
          <w:tcPr/>
          <w:p>
            <w:pPr>
              <w:pStyle w:val="Compact"/>
              <w:jc w:val="left"/>
            </w:pPr>
            <w:r>
              <w:t xml:space="preserve">Quarterly 10-Q: Monthly ARPU &gt;$85, CAC &lt;38%</w:t>
            </w:r>
          </w:p>
        </w:tc>
        <w:tc>
          <w:tcPr/>
          <w:p>
            <w:pPr>
              <w:pStyle w:val="Compact"/>
              <w:jc w:val="left"/>
            </w:pPr>
            <w:r>
              <w:t xml:space="preserve">Annual 10-K: GAAP net income, FTC resolution</w:t>
            </w:r>
          </w:p>
        </w:tc>
      </w:tr>
      <w:tr>
        <w:tc>
          <w:tcPr/>
          <w:p>
            <w:pPr>
              <w:pStyle w:val="Compact"/>
              <w:jc w:val="left"/>
            </w:pPr>
            <w:r>
              <w:rPr>
                <w:b/>
                <w:bCs/>
              </w:rPr>
              <w:t xml:space="preserve">Rebalance / Trim Point</w:t>
            </w:r>
          </w:p>
        </w:tc>
        <w:tc>
          <w:tcPr/>
          <w:p>
            <w:pPr>
              <w:pStyle w:val="Compact"/>
              <w:jc w:val="left"/>
            </w:pPr>
            <w:r>
              <w:t xml:space="preserve">Trim when position &gt;4.0% or P/S &gt;4.0x</w:t>
            </w:r>
          </w:p>
        </w:tc>
        <w:tc>
          <w:tcPr/>
          <w:p>
            <w:pPr>
              <w:pStyle w:val="Compact"/>
              <w:jc w:val="left"/>
            </w:pPr>
            <w:r>
              <w:t xml:space="preserve">Trim when position &gt;3.5% or P/S &gt;3.8x</w:t>
            </w:r>
          </w:p>
        </w:tc>
        <w:tc>
          <w:tcPr/>
          <w:p>
            <w:pPr>
              <w:pStyle w:val="Compact"/>
              <w:jc w:val="left"/>
            </w:pPr>
            <w:r>
              <w:t xml:space="preserve">Trim 30% if position doubles and exceeds 3.0%</w:t>
            </w:r>
          </w:p>
        </w:tc>
      </w:tr>
      <w:tr>
        <w:tc>
          <w:tcPr/>
          <w:p>
            <w:pPr>
              <w:pStyle w:val="Compact"/>
              <w:jc w:val="left"/>
            </w:pPr>
            <w:r>
              <w:rPr>
                <w:b/>
                <w:bCs/>
              </w:rPr>
              <w:t xml:space="preserve">Hard Exit Signals</w:t>
            </w:r>
          </w:p>
        </w:tc>
        <w:tc>
          <w:tcPr/>
          <w:p>
            <w:pPr>
              <w:pStyle w:val="Compact"/>
              <w:jc w:val="left"/>
            </w:pPr>
            <w:r>
              <w:t xml:space="preserve">Mass-market compounding banned; severe FTC marketing bans; dilution &gt;15% to pay debt</w:t>
            </w:r>
          </w:p>
        </w:tc>
        <w:tc>
          <w:tcPr/>
          <w:p>
            <w:pPr>
              <w:pStyle w:val="Compact"/>
              <w:jc w:val="left"/>
            </w:pPr>
            <w:r>
              <w:t xml:space="preserve">ARPU falls &lt;$75; subscriber contraction; international goodwill impairments &gt;25%</w:t>
            </w:r>
          </w:p>
        </w:tc>
        <w:tc>
          <w:tcPr/>
          <w:p>
            <w:pPr>
              <w:pStyle w:val="Compact"/>
              <w:jc w:val="left"/>
            </w:pPr>
            <w:r>
              <w:t xml:space="preserve">Criminal indictment; DOJ operations ban; debt covenant breach</w:t>
            </w:r>
          </w:p>
        </w:tc>
      </w:tr>
      <w:tr>
        <w:tc>
          <w:tcPr/>
          <w:p>
            <w:pPr>
              <w:pStyle w:val="Compact"/>
              <w:jc w:val="left"/>
            </w:pPr>
            <w:r>
              <w:rPr>
                <w:b/>
                <w:bCs/>
              </w:rPr>
              <w:t xml:space="preserve">Best Suited For</w:t>
            </w:r>
          </w:p>
        </w:tc>
        <w:tc>
          <w:tcPr/>
          <w:p>
            <w:pPr>
              <w:pStyle w:val="Compact"/>
              <w:jc w:val="left"/>
            </w:pPr>
            <w:r>
              <w:t xml:space="preserve">Balanced moderate investor wanting gated participation</w:t>
            </w:r>
          </w:p>
        </w:tc>
        <w:tc>
          <w:tcPr/>
          <w:p>
            <w:pPr>
              <w:pStyle w:val="Compact"/>
              <w:jc w:val="left"/>
            </w:pPr>
            <w:r>
              <w:t xml:space="preserve">Investor seeking to smooth high share volatility</w:t>
            </w:r>
          </w:p>
        </w:tc>
        <w:tc>
          <w:tcPr/>
          <w:p>
            <w:pPr>
              <w:pStyle w:val="Compact"/>
              <w:jc w:val="left"/>
            </w:pPr>
            <w:r>
              <w:t xml:space="preserve">Conservative edge wanting total margin of safety</w:t>
            </w:r>
          </w:p>
        </w:tc>
      </w:tr>
    </w:tbl>
    <w:p>
      <w:r>
        <w:pict>
          <v:rect style="width:0;height:1.5pt" o:hralign="center" o:hrstd="t" o:hr="t"/>
        </w:pict>
      </w:r>
    </w:p>
    <w:p>
      <w:pPr>
        <w:pStyle w:val="FirstParagraph"/>
      </w:pPr>
      <w:r>
        <w:rPr>
          <w:i/>
          <w:iCs/>
        </w:rPr>
        <w:t xml:space="preserve">Important Disclaimer: For educational and informational purposes only. This analysis is generated by an artificial intelligence model and does not constitute financial, investment, tax, or legal advice, nor is it a recommendation to buy, sell, or hold any security. Financial metrics, regulatory conditions, and asset valuations are subject to change. Always verify primary filings with the SEC and consult with a licensed financial advisor, CPA, or tax professional before making investment decisions.</w:t>
      </w:r>
    </w:p>
    <w:bookmarkEnd w:id="73"/>
    <w:bookmarkEnd w:id="7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Hims &amp; Hers Health (HIMS): Long-Term Investment Research</dc:title>
  <dc:creator/>
  <cp:keywords/>
  <dcterms:created xsi:type="dcterms:W3CDTF">2026-09-29T21:08:29Z</dcterms:created>
  <dcterms:modified xsi:type="dcterms:W3CDTF">2026-09-29T21:08:29Z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30 September 2026 · Research by Gemini agent team; analysis, fact-check and review by Claude</vt:lpwstr>
  </property>
</Properties>
</file>